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48"/>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48"/>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rFonts w:ascii="黑体" w:hAnsi="华文中宋" w:eastAsia="黑体"/>
          <w:bCs/>
          <w:color w:val="000000" w:themeColor="text1"/>
          <w:spacing w:val="20"/>
          <w:sz w:val="52"/>
          <w:szCs w:val="52"/>
          <w:highlight w:val="none"/>
        </w:rPr>
      </w:r>
      <w:r>
        <w:rPr>
          <w:color w:val="000000" w:themeColor="text1"/>
          <w:highlight w:val="none"/>
        </w:rPr>
      </w:r>
    </w:p>
    <w:p>
      <w:pPr>
        <w:pStyle w:val="94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4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4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rPr>
        <w:t xml:space="preserve">JSZC-320200-JZCG-G2025-0201</w:t>
      </w:r>
      <w:r>
        <w:rPr>
          <w:rFonts w:hint="eastAsia" w:ascii="黑体" w:hAnsi="华文中宋" w:eastAsia="黑体"/>
          <w:bCs/>
          <w:color w:val="000000" w:themeColor="text1"/>
          <w:sz w:val="32"/>
          <w:szCs w:val="32"/>
          <w:highlight w:val="none"/>
        </w:rPr>
      </w:r>
      <w:r>
        <w:rPr>
          <w:color w:val="000000" w:themeColor="text1"/>
          <w:highlight w:val="none"/>
        </w:rP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rPr>
        <w:t xml:space="preserve">中南西路500号综合楼物业管理服务项目</w:t>
      </w:r>
      <w:r>
        <w:rPr>
          <w:rFonts w:hint="eastAsia" w:ascii="黑体" w:hAnsi="华文中宋" w:eastAsia="黑体"/>
          <w:bCs/>
          <w:color w:val="000000" w:themeColor="text1"/>
          <w:sz w:val="32"/>
          <w:szCs w:val="32"/>
          <w:highlight w:val="none"/>
        </w:rPr>
      </w:r>
      <w:r>
        <w:rPr>
          <w:color w:val="000000" w:themeColor="text1"/>
          <w:highlight w:val="none"/>
        </w:rP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rPr>
        <w:t xml:space="preserve">无锡市机关事务管理局</w:t>
      </w:r>
      <w:r>
        <w:rPr>
          <w:rFonts w:hint="eastAsia" w:ascii="黑体" w:hAnsi="华文中宋" w:eastAsia="黑体"/>
          <w:bCs/>
          <w:color w:val="000000" w:themeColor="text1"/>
          <w:sz w:val="32"/>
          <w:szCs w:val="32"/>
          <w:highlight w:val="none"/>
        </w:rPr>
      </w:r>
      <w:r>
        <w:rPr>
          <w:color w:val="000000" w:themeColor="text1"/>
          <w:highlight w:val="none"/>
        </w:rPr>
      </w:r>
    </w:p>
    <w:p>
      <w:pPr>
        <w:pStyle w:val="86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4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4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4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48"/>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48"/>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二○二六年</w:t>
      </w:r>
      <w:r>
        <w:rPr>
          <w:rFonts w:hint="eastAsia" w:ascii="黑体" w:hAnsi="华文中宋" w:eastAsia="黑体"/>
          <w:bCs/>
          <w:color w:val="000000" w:themeColor="text1"/>
          <w:sz w:val="32"/>
          <w:szCs w:val="32"/>
          <w:highlight w:val="none"/>
        </w:rPr>
        <w:t xml:space="preserve">二</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48"/>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13029200"/>
      <w:r>
        <w:rPr>
          <w:color w:val="000000" w:themeColor="text1"/>
          <w:highlight w:val="none"/>
        </w:rPr>
      </w:r>
      <w:bookmarkStart w:id="2" w:name="_Toc479757206"/>
      <w:r>
        <w:rPr>
          <w:color w:val="000000" w:themeColor="text1"/>
          <w:highlight w:val="none"/>
        </w:rPr>
      </w:r>
      <w:bookmarkStart w:id="3" w:name="_Toc16938516"/>
      <w:r>
        <w:rPr>
          <w:color w:val="000000" w:themeColor="text1"/>
          <w:highlight w:val="none"/>
        </w:rPr>
      </w:r>
      <w:bookmarkStart w:id="4" w:name="_Toc523127445"/>
      <w:r>
        <w:rPr>
          <w:color w:val="000000" w:themeColor="text1"/>
          <w:highlight w:val="none"/>
        </w:rPr>
      </w:r>
      <w:bookmarkStart w:id="5" w:name="_Toc20823272"/>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61"/>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rPr>
        <w:t xml:space="preserve">无锡市机关事务管理局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rPr>
        <w:t xml:space="preserve">中南西路500号综合楼物业管理服务项目（2026-2029年度）</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JSZC-320200-JZCG-G2025-0201</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6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6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中南西路500号综合楼物业管理服务项目（2026-2029年度）</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2026</w:t>
      </w:r>
      <w:r>
        <w:rPr>
          <w:rFonts w:hint="eastAsia" w:ascii="宋体" w:hAnsi="宋体"/>
          <w:color w:val="000000" w:themeColor="text1"/>
          <w:sz w:val="24"/>
          <w:szCs w:val="24"/>
          <w:highlight w:val="none"/>
        </w:rPr>
        <w:t xml:space="preserve">年3月20日09点30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790"/>
      <w:r>
        <w:rPr>
          <w:color w:val="000000" w:themeColor="text1"/>
          <w:highlight w:val="none"/>
        </w:rPr>
      </w:r>
      <w:bookmarkStart w:id="7" w:name="_Toc28359002"/>
      <w:r>
        <w:rPr>
          <w:color w:val="000000" w:themeColor="text1"/>
          <w:highlight w:val="none"/>
        </w:rPr>
      </w:r>
      <w:bookmarkStart w:id="8" w:name="_Toc28359079"/>
      <w:r>
        <w:rPr>
          <w:color w:val="000000" w:themeColor="text1"/>
          <w:highlight w:val="none"/>
        </w:rPr>
      </w:r>
      <w:bookmarkStart w:id="9" w:name="_Toc38985263"/>
      <w:r>
        <w:rPr>
          <w:color w:val="000000" w:themeColor="text1"/>
          <w:highlight w:val="none"/>
        </w:rPr>
      </w:r>
      <w:bookmarkStart w:id="10" w:name="_Toc35393621"/>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JSZC-320200-JZCG-G2025-0201</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rPr>
        <w:t xml:space="preserve">中南西路500号综合楼物业管理服务项目（2026-2029年度）</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3.项目预算金额：456</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456</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5.采购方式：公开招标（暗标）</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791"/>
      <w:r>
        <w:rPr>
          <w:color w:val="000000" w:themeColor="text1"/>
          <w:highlight w:val="none"/>
        </w:rPr>
      </w:r>
      <w:bookmarkStart w:id="13" w:name="_Toc28359080"/>
      <w:r>
        <w:rPr>
          <w:color w:val="000000" w:themeColor="text1"/>
          <w:highlight w:val="none"/>
        </w:rPr>
      </w:r>
      <w:bookmarkStart w:id="14" w:name="_Toc38985264"/>
      <w:r>
        <w:rPr>
          <w:color w:val="000000" w:themeColor="text1"/>
          <w:highlight w:val="none"/>
        </w:rPr>
      </w:r>
      <w:bookmarkStart w:id="15" w:name="_Toc28359003"/>
      <w:r>
        <w:rPr>
          <w:color w:val="000000" w:themeColor="text1"/>
          <w:highlight w:val="none"/>
        </w:rPr>
      </w:r>
      <w:bookmarkStart w:id="16" w:name="_Toc35393622"/>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8985265"/>
      <w:r>
        <w:rPr>
          <w:color w:val="000000" w:themeColor="text1"/>
          <w:highlight w:val="none"/>
        </w:rPr>
      </w:r>
      <w:bookmarkStart w:id="18" w:name="_Toc28359081"/>
      <w:r>
        <w:rPr>
          <w:color w:val="000000" w:themeColor="text1"/>
          <w:highlight w:val="none"/>
        </w:rPr>
      </w:r>
      <w:bookmarkStart w:id="19" w:name="_Toc35393792"/>
      <w:r>
        <w:rPr>
          <w:color w:val="000000" w:themeColor="text1"/>
          <w:highlight w:val="none"/>
        </w:rPr>
      </w:r>
      <w:bookmarkStart w:id="20" w:name="_Toc28359004"/>
      <w:r>
        <w:rPr>
          <w:color w:val="000000" w:themeColor="text1"/>
          <w:highlight w:val="none"/>
        </w:rPr>
      </w:r>
      <w:bookmarkStart w:id="21" w:name="_Toc35393623"/>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61"/>
        <w:ind w:firstLine="540"/>
        <w:spacing w:line="500" w:lineRule="exact"/>
        <w:rPr>
          <w:rFonts w:hint="eastAsia" w:ascii="宋体" w:hAnsi="宋体" w:cs="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s="宋体"/>
          <w:color w:val="000000" w:themeColor="text1"/>
          <w:sz w:val="24"/>
          <w:szCs w:val="24"/>
          <w:highlight w:val="none"/>
        </w:rPr>
      </w:r>
      <w:r>
        <w:rPr>
          <w:color w:val="000000" w:themeColor="text1"/>
          <w:highlight w:val="none"/>
        </w:rPr>
      </w:r>
    </w:p>
    <w:p>
      <w:pPr>
        <w:pStyle w:val="861"/>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61"/>
        <w:ind w:firstLine="540"/>
        <w:spacing w:line="500" w:lineRule="exact"/>
        <w:rPr>
          <w:rStyle w:val="937"/>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http://jszfcg.jsczt.cn/</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37"/>
          <w:color w:val="000000" w:themeColor="text1"/>
          <w:highlight w:val="none"/>
        </w:rPr>
      </w:r>
      <w:r>
        <w:rPr>
          <w:color w:val="000000" w:themeColor="text1"/>
          <w:highlight w:val="none"/>
        </w:rPr>
      </w:r>
    </w:p>
    <w:p>
      <w:pPr>
        <w:pStyle w:val="861"/>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2026</w:t>
      </w:r>
      <w:r>
        <w:rPr>
          <w:rFonts w:hint="eastAsia" w:ascii="宋体" w:hAnsi="宋体"/>
          <w:bCs/>
          <w:color w:val="000000" w:themeColor="text1"/>
          <w:sz w:val="24"/>
          <w:szCs w:val="24"/>
          <w:highlight w:val="none"/>
        </w:rPr>
        <w:t xml:space="preserve">年3月20日09点30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07"/>
      <w:r>
        <w:rPr>
          <w:color w:val="000000" w:themeColor="text1"/>
          <w:highlight w:val="none"/>
        </w:rPr>
      </w:r>
      <w:bookmarkStart w:id="28" w:name="_Toc38985267"/>
      <w:r>
        <w:rPr>
          <w:color w:val="000000" w:themeColor="text1"/>
          <w:highlight w:val="none"/>
        </w:rPr>
      </w:r>
      <w:bookmarkStart w:id="29" w:name="_Toc28359084"/>
      <w:r>
        <w:rPr>
          <w:color w:val="000000" w:themeColor="text1"/>
          <w:highlight w:val="none"/>
        </w:rPr>
      </w:r>
      <w:bookmarkStart w:id="30" w:name="_Toc35393625"/>
      <w:r>
        <w:rPr>
          <w:color w:val="000000" w:themeColor="text1"/>
          <w:highlight w:val="none"/>
        </w:rPr>
      </w:r>
      <w:bookmarkStart w:id="31" w:name="_Toc35393794"/>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28359085"/>
      <w:r>
        <w:rPr>
          <w:color w:val="000000" w:themeColor="text1"/>
          <w:highlight w:val="none"/>
        </w:rPr>
      </w:r>
      <w:bookmarkStart w:id="37" w:name="_Toc28359008"/>
      <w:r>
        <w:rPr>
          <w:color w:val="000000" w:themeColor="text1"/>
          <w:highlight w:val="none"/>
        </w:rPr>
      </w:r>
      <w:bookmarkStart w:id="38" w:name="_Toc35393796"/>
      <w:r>
        <w:rPr>
          <w:color w:val="000000" w:themeColor="text1"/>
          <w:highlight w:val="none"/>
        </w:rPr>
      </w:r>
      <w:bookmarkStart w:id="39" w:name="_Toc35393627"/>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rPr>
        <w:t xml:space="preserve">无锡市机关事务管理局</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址：无锡市观山路199号市民中心8号</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rPr>
        <w:t xml:space="preserve">联系人姓名：苏虹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电话：0510-81827197</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受理人姓名：苏虹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电话：0510-81827197</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rPr>
        <w:t xml:space="preserve">中心经办人姓名：吴冰梦；电话：0510-81827747</w:t>
      </w:r>
      <w:r>
        <w:rPr>
          <w:rFonts w:ascii="宋体" w:hAnsi="宋体" w:cs="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6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6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6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20823274"/>
      <w:r>
        <w:rPr>
          <w:color w:val="000000" w:themeColor="text1"/>
          <w:highlight w:val="none"/>
        </w:rPr>
      </w:r>
      <w:bookmarkStart w:id="44" w:name="_Toc16938518"/>
      <w:r>
        <w:rPr>
          <w:color w:val="000000" w:themeColor="text1"/>
          <w:highlight w:val="none"/>
        </w:rPr>
      </w:r>
      <w:bookmarkStart w:id="45" w:name="_Toc120614213"/>
      <w:r>
        <w:rPr>
          <w:color w:val="000000" w:themeColor="text1"/>
          <w:highlight w:val="none"/>
        </w:rPr>
      </w:r>
      <w:bookmarkStart w:id="46" w:name="_Toc513029202"/>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20614214"/>
      <w:r>
        <w:rPr>
          <w:color w:val="000000" w:themeColor="text1"/>
          <w:highlight w:val="none"/>
        </w:rPr>
      </w:r>
      <w:bookmarkStart w:id="48" w:name="_Toc16938519"/>
      <w:r>
        <w:rPr>
          <w:color w:val="000000" w:themeColor="text1"/>
          <w:highlight w:val="none"/>
        </w:rPr>
      </w:r>
      <w:bookmarkStart w:id="49" w:name="_Toc513029203"/>
      <w:r>
        <w:rPr>
          <w:color w:val="000000" w:themeColor="text1"/>
          <w:highlight w:val="none"/>
        </w:rPr>
      </w:r>
      <w:bookmarkStart w:id="50" w:name="_Toc20823275"/>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20823276"/>
      <w:r>
        <w:rPr>
          <w:color w:val="000000" w:themeColor="text1"/>
          <w:highlight w:val="none"/>
        </w:rPr>
      </w:r>
      <w:bookmarkStart w:id="54" w:name="_Toc513029204"/>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20823277"/>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513029206"/>
      <w:r>
        <w:rPr>
          <w:color w:val="000000" w:themeColor="text1"/>
          <w:highlight w:val="none"/>
        </w:rPr>
      </w:r>
      <w:bookmarkStart w:id="59" w:name="_Toc20823278"/>
      <w:r>
        <w:rPr>
          <w:color w:val="000000" w:themeColor="text1"/>
          <w:highlight w:val="none"/>
        </w:rPr>
      </w:r>
      <w:bookmarkStart w:id="60" w:name="_Toc16938522"/>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462564067"/>
      <w:r>
        <w:rPr>
          <w:color w:val="000000" w:themeColor="text1"/>
          <w:highlight w:val="none"/>
        </w:rPr>
      </w:r>
      <w:bookmarkStart w:id="63" w:name="_Toc20823279"/>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20614215"/>
      <w:r>
        <w:rPr>
          <w:color w:val="000000" w:themeColor="text1"/>
          <w:highlight w:val="none"/>
        </w:rPr>
      </w:r>
      <w:bookmarkStart w:id="66" w:name="_Toc20823281"/>
      <w:r>
        <w:rPr>
          <w:color w:val="000000" w:themeColor="text1"/>
          <w:highlight w:val="none"/>
        </w:rPr>
      </w:r>
      <w:bookmarkStart w:id="67" w:name="_Toc16938525"/>
      <w:r>
        <w:rPr>
          <w:color w:val="000000" w:themeColor="text1"/>
          <w:highlight w:val="none"/>
        </w:rPr>
      </w:r>
      <w:bookmarkStart w:id="68" w:name="_Toc513029209"/>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16938526"/>
      <w:r>
        <w:rPr>
          <w:color w:val="000000" w:themeColor="text1"/>
          <w:highlight w:val="none"/>
        </w:rPr>
      </w:r>
      <w:bookmarkStart w:id="70" w:name="_Toc513029210"/>
      <w:r>
        <w:rPr>
          <w:color w:val="000000" w:themeColor="text1"/>
          <w:highlight w:val="none"/>
        </w:rPr>
      </w:r>
      <w:bookmarkStart w:id="71" w:name="_Toc20823282"/>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20823284"/>
      <w:r>
        <w:rPr>
          <w:color w:val="000000" w:themeColor="text1"/>
          <w:highlight w:val="none"/>
        </w:rPr>
      </w:r>
      <w:bookmarkStart w:id="77" w:name="_Toc16938528"/>
      <w:r>
        <w:rPr>
          <w:color w:val="000000" w:themeColor="text1"/>
          <w:highlight w:val="none"/>
        </w:rPr>
      </w:r>
      <w:bookmarkStart w:id="78" w:name="_Toc462564071"/>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513029213"/>
      <w:r>
        <w:rPr>
          <w:color w:val="000000" w:themeColor="text1"/>
          <w:highlight w:val="none"/>
        </w:rPr>
      </w:r>
      <w:bookmarkStart w:id="81" w:name="_Toc462564072"/>
      <w:r>
        <w:rPr>
          <w:color w:val="000000" w:themeColor="text1"/>
          <w:highlight w:val="none"/>
        </w:rPr>
      </w:r>
      <w:bookmarkStart w:id="82" w:name="_Toc20823285"/>
      <w:r>
        <w:rPr>
          <w:color w:val="000000" w:themeColor="text1"/>
          <w:highlight w:val="none"/>
        </w:rPr>
      </w:r>
      <w:bookmarkStart w:id="83" w:name="_Toc16938529"/>
      <w:r>
        <w:rPr>
          <w:color w:val="000000" w:themeColor="text1"/>
          <w:highlight w:val="none"/>
        </w:rPr>
      </w:r>
      <w:bookmarkStart w:id="84" w:name="_Toc120614216"/>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16938530"/>
      <w:r>
        <w:rPr>
          <w:color w:val="000000" w:themeColor="text1"/>
          <w:highlight w:val="none"/>
        </w:rPr>
      </w:r>
      <w:bookmarkStart w:id="87" w:name="_Toc513029214"/>
      <w:r>
        <w:rPr>
          <w:color w:val="000000" w:themeColor="text1"/>
          <w:highlight w:val="none"/>
        </w:rPr>
      </w:r>
      <w:bookmarkStart w:id="88" w:name="_Toc462564073"/>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20823287"/>
      <w:r>
        <w:rPr>
          <w:color w:val="000000" w:themeColor="text1"/>
          <w:highlight w:val="none"/>
        </w:rPr>
      </w:r>
      <w:bookmarkStart w:id="90" w:name="_Toc513029215"/>
      <w:r>
        <w:rPr>
          <w:color w:val="000000" w:themeColor="text1"/>
          <w:highlight w:val="none"/>
        </w:rPr>
      </w:r>
      <w:bookmarkStart w:id="91" w:name="_Toc16938531"/>
      <w:r>
        <w:rPr>
          <w:color w:val="000000" w:themeColor="text1"/>
          <w:highlight w:val="none"/>
        </w:rPr>
      </w:r>
      <w:bookmarkStart w:id="92" w:name="_Toc462564074"/>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4"/>
          <w:highlight w:val="none"/>
          <w:u w:val="singl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rPr>
        <w:t xml:space="preserve">上述《评标方法与评标标准》中技术部分不得有体现投标人身份的内容是指：</w:t>
      </w:r>
      <w:r>
        <w:rPr>
          <w:rFonts w:hint="eastAsia" w:ascii="宋体" w:hAnsi="宋体"/>
          <w:b/>
          <w:color w:val="000000" w:themeColor="text1"/>
          <w:sz w:val="24"/>
          <w:highlight w:val="none"/>
          <w:u w:val="singl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10.4.1技术部分不得出现能够体现投标人身份、名称的相关描述、材料、文件等内容；</w:t>
      </w:r>
      <w:r>
        <w:rPr>
          <w:rFonts w:hint="eastAsia" w:ascii="宋体" w:hAnsi="宋体"/>
          <w:b/>
          <w:color w:val="000000" w:themeColor="text1"/>
          <w:sz w:val="24"/>
          <w:highlight w:val="non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10.4.2技术部分不得更改，不得在其中涂改、标注或做任何可以辨认投标人及所属人员身份的名称、印章、商标等标记；</w:t>
      </w:r>
      <w:r>
        <w:rPr>
          <w:rFonts w:hint="eastAsia" w:ascii="宋体" w:hAnsi="宋体"/>
          <w:b/>
          <w:color w:val="000000" w:themeColor="text1"/>
          <w:sz w:val="24"/>
          <w:highlight w:val="non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themeColor="text1"/>
          <w:sz w:val="24"/>
          <w:highlight w:val="none"/>
        </w:rPr>
      </w:r>
      <w:r>
        <w:rPr>
          <w:color w:val="000000" w:themeColor="text1"/>
          <w:highlight w:val="none"/>
        </w:rPr>
      </w:r>
    </w:p>
    <w:p>
      <w:pPr>
        <w:pStyle w:val="86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10.4.4不得有其他体现投标人身份的内容。</w:t>
      </w:r>
      <w:r>
        <w:rPr>
          <w:rFonts w:hint="eastAsia" w:ascii="宋体" w:hAnsi="宋体"/>
          <w:b/>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68975"/>
      <w:r>
        <w:rPr>
          <w:color w:val="000000" w:themeColor="text1"/>
          <w:highlight w:val="none"/>
        </w:rPr>
      </w:r>
      <w:bookmarkEnd w:id="95"/>
      <w:r>
        <w:rPr>
          <w:color w:val="000000" w:themeColor="text1"/>
          <w:highlight w:val="none"/>
        </w:rPr>
      </w:r>
      <w:bookmarkStart w:id="96" w:name="_Toc14577357"/>
      <w:r>
        <w:rPr>
          <w:color w:val="000000" w:themeColor="text1"/>
          <w:highlight w:val="none"/>
        </w:rPr>
      </w:r>
      <w:bookmarkStart w:id="97" w:name="_Toc49090509"/>
      <w:r>
        <w:rPr>
          <w:color w:val="000000" w:themeColor="text1"/>
          <w:highlight w:val="none"/>
        </w:rPr>
      </w:r>
      <w:bookmarkStart w:id="98" w:name="_Toc513029219"/>
      <w:r>
        <w:rPr>
          <w:color w:val="000000" w:themeColor="text1"/>
          <w:highlight w:val="none"/>
        </w:rPr>
      </w:r>
      <w:bookmarkStart w:id="99" w:name="_Toc513029216"/>
      <w:r>
        <w:rPr>
          <w:color w:val="000000" w:themeColor="text1"/>
          <w:highlight w:val="none"/>
        </w:rPr>
      </w:r>
      <w:bookmarkStart w:id="100" w:name="_Toc49090507"/>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14577355"/>
      <w:r>
        <w:rPr>
          <w:color w:val="000000" w:themeColor="text1"/>
          <w:highlight w:val="none"/>
        </w:rPr>
      </w:r>
      <w:bookmarkStart w:id="103" w:name="_Toc49090508"/>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03"/>
      <w:r>
        <w:rPr>
          <w:color w:val="000000" w:themeColor="text1"/>
          <w:highlight w:val="none"/>
        </w:rPr>
      </w:r>
      <w:bookmarkEnd w:id="108"/>
      <w:r>
        <w:rPr>
          <w:color w:val="000000" w:themeColor="text1"/>
          <w:highlight w:val="none"/>
        </w:rPr>
      </w:r>
      <w:bookmarkStart w:id="109" w:name="_Hlt26954844"/>
      <w:r>
        <w:rPr>
          <w:color w:val="000000" w:themeColor="text1"/>
          <w:highlight w:val="none"/>
        </w:rPr>
      </w:r>
      <w:bookmarkEnd w:id="109"/>
      <w:r>
        <w:rPr>
          <w:color w:val="000000" w:themeColor="text1"/>
          <w:highlight w:val="none"/>
        </w:rPr>
      </w:r>
      <w:bookmarkStart w:id="110" w:name="_Hlt26670425"/>
      <w:r>
        <w:rPr>
          <w:color w:val="000000" w:themeColor="text1"/>
          <w:highlight w:val="none"/>
        </w:rPr>
      </w:r>
      <w:bookmarkEnd w:id="110"/>
      <w:r>
        <w:rPr>
          <w:color w:val="000000" w:themeColor="text1"/>
          <w:highlight w:val="none"/>
        </w:rPr>
      </w:r>
      <w:bookmarkStart w:id="111" w:name="_Hlt26954846"/>
      <w:r>
        <w:rPr>
          <w:color w:val="000000" w:themeColor="text1"/>
          <w:highlight w:val="none"/>
        </w:rPr>
      </w:r>
      <w:bookmarkEnd w:id="111"/>
      <w:r>
        <w:rPr>
          <w:color w:val="000000" w:themeColor="text1"/>
          <w:highlight w:val="none"/>
        </w:rPr>
      </w:r>
      <w:bookmarkStart w:id="112" w:name="_Hlt26670482"/>
      <w:r>
        <w:rPr>
          <w:color w:val="000000" w:themeColor="text1"/>
          <w:highlight w:val="none"/>
        </w:rPr>
      </w:r>
      <w:bookmarkEnd w:id="112"/>
      <w:r>
        <w:rPr>
          <w:color w:val="000000" w:themeColor="text1"/>
          <w:highlight w:val="none"/>
        </w:rPr>
      </w:r>
      <w:bookmarkStart w:id="113" w:name="_Hlt26668983"/>
      <w:r>
        <w:rPr>
          <w:color w:val="000000" w:themeColor="text1"/>
          <w:highlight w:val="none"/>
        </w:rPr>
      </w:r>
      <w:bookmarkEnd w:id="113"/>
      <w:r>
        <w:rPr>
          <w:color w:val="000000" w:themeColor="text1"/>
          <w:highlight w:val="none"/>
        </w:rPr>
      </w:r>
      <w:bookmarkStart w:id="114" w:name="_Hlt26954842"/>
      <w:r>
        <w:rPr>
          <w:color w:val="000000" w:themeColor="text1"/>
          <w:highlight w:val="none"/>
        </w:rPr>
      </w:r>
      <w:bookmarkEnd w:id="114"/>
      <w:r>
        <w:rPr>
          <w:color w:val="000000" w:themeColor="text1"/>
          <w:highlight w:val="none"/>
        </w:rPr>
      </w:r>
      <w:bookmarkStart w:id="115" w:name="_Hlt26954731"/>
      <w:r>
        <w:rPr>
          <w:color w:val="000000" w:themeColor="text1"/>
          <w:highlight w:val="none"/>
        </w:rPr>
      </w:r>
      <w:bookmarkEnd w:id="115"/>
      <w:r>
        <w:rPr>
          <w:color w:val="000000" w:themeColor="text1"/>
          <w:highlight w:val="none"/>
        </w:rPr>
      </w:r>
      <w:bookmarkStart w:id="116" w:name="_Hlt26954848"/>
      <w:r>
        <w:rPr>
          <w:color w:val="000000" w:themeColor="text1"/>
          <w:highlight w:val="none"/>
        </w:rPr>
      </w:r>
      <w:bookmarkEnd w:id="116"/>
      <w:r>
        <w:rPr>
          <w:color w:val="000000" w:themeColor="text1"/>
          <w:highlight w:val="none"/>
        </w:rPr>
      </w:r>
      <w:bookmarkStart w:id="117" w:name="_Hlt26670486"/>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954850"/>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20823296"/>
      <w:r>
        <w:rPr>
          <w:color w:val="000000" w:themeColor="text1"/>
          <w:highlight w:val="none"/>
        </w:rPr>
      </w:r>
      <w:bookmarkStart w:id="127" w:name="_Toc16938540"/>
      <w:r>
        <w:rPr>
          <w:color w:val="000000" w:themeColor="text1"/>
          <w:highlight w:val="none"/>
        </w:rPr>
      </w:r>
      <w:bookmarkStart w:id="128" w:name="_Toc513029224"/>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20823297"/>
      <w:r>
        <w:rPr>
          <w:color w:val="000000" w:themeColor="text1"/>
          <w:highlight w:val="none"/>
        </w:rPr>
      </w:r>
      <w:bookmarkStart w:id="130" w:name="_Toc462564084"/>
      <w:r>
        <w:rPr>
          <w:color w:val="000000" w:themeColor="text1"/>
          <w:highlight w:val="none"/>
        </w:rPr>
      </w:r>
      <w:bookmarkStart w:id="131" w:name="_Toc513029225"/>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97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20823298"/>
      <w:r>
        <w:rPr>
          <w:color w:val="000000" w:themeColor="text1"/>
          <w:highlight w:val="none"/>
        </w:rPr>
      </w:r>
      <w:bookmarkStart w:id="135" w:name="_Toc513029226"/>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20823299"/>
      <w:r>
        <w:rPr>
          <w:color w:val="000000" w:themeColor="text1"/>
          <w:highlight w:val="none"/>
        </w:rPr>
      </w:r>
      <w:bookmarkStart w:id="137" w:name="_Toc513029227"/>
      <w:r>
        <w:rPr>
          <w:color w:val="000000" w:themeColor="text1"/>
          <w:highlight w:val="none"/>
        </w:rPr>
      </w:r>
      <w:bookmarkStart w:id="138" w:name="_Toc16938543"/>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513029228"/>
      <w:r>
        <w:rPr>
          <w:color w:val="000000" w:themeColor="text1"/>
          <w:highlight w:val="none"/>
        </w:rPr>
      </w:r>
      <w:bookmarkStart w:id="140" w:name="_Toc16938544"/>
      <w:r>
        <w:rPr>
          <w:color w:val="000000" w:themeColor="text1"/>
          <w:highlight w:val="none"/>
        </w:rPr>
      </w:r>
      <w:bookmarkStart w:id="141" w:name="_Toc20823300"/>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513029229"/>
      <w:r>
        <w:rPr>
          <w:color w:val="000000" w:themeColor="text1"/>
          <w:highlight w:val="none"/>
        </w:rPr>
      </w:r>
      <w:bookmarkStart w:id="144" w:name="_Toc120614218"/>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20823302"/>
      <w:r>
        <w:rPr>
          <w:color w:val="000000" w:themeColor="text1"/>
          <w:highlight w:val="none"/>
        </w:rPr>
      </w:r>
      <w:bookmarkStart w:id="147" w:name="_Toc16938546"/>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16938547"/>
      <w:r>
        <w:rPr>
          <w:color w:val="000000" w:themeColor="text1"/>
          <w:highlight w:val="none"/>
        </w:rPr>
      </w:r>
      <w:bookmarkStart w:id="151" w:name="_Toc20823303"/>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513029232"/>
      <w:r>
        <w:rPr>
          <w:color w:val="000000" w:themeColor="text1"/>
          <w:highlight w:val="none"/>
        </w:rPr>
      </w:r>
      <w:bookmarkStart w:id="154" w:name="_Toc16938548"/>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513029233"/>
      <w:r>
        <w:rPr>
          <w:color w:val="000000" w:themeColor="text1"/>
          <w:highlight w:val="none"/>
        </w:rPr>
      </w:r>
      <w:bookmarkStart w:id="156" w:name="_Toc16938549"/>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20823306"/>
      <w:r>
        <w:rPr>
          <w:color w:val="000000" w:themeColor="text1"/>
          <w:highlight w:val="none"/>
        </w:rPr>
      </w:r>
      <w:bookmarkStart w:id="159" w:name="_Toc16938550"/>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513029235"/>
      <w:r>
        <w:rPr>
          <w:color w:val="000000" w:themeColor="text1"/>
          <w:highlight w:val="none"/>
        </w:rPr>
      </w:r>
      <w:bookmarkStart w:id="162" w:name="_Toc20823307"/>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w:t>
      </w:r>
      <w:r>
        <w:rPr>
          <w:rFonts w:hint="eastAsia" w:ascii="宋体" w:hAnsi="宋体"/>
          <w:bCs/>
          <w:color w:val="000000" w:themeColor="text1"/>
          <w:sz w:val="24"/>
          <w:highlight w:val="none"/>
        </w:rPr>
        <w:t xml:space="preserve">投标系统中不同投标人的MAC地址一致或标书制作工具客户端标识码一致的。</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w:t>
      </w:r>
      <w:r>
        <w:rPr>
          <w:rFonts w:hint="eastAsia" w:ascii="宋体" w:hAnsi="宋体"/>
          <w:bCs/>
          <w:color w:val="000000" w:themeColor="text1"/>
          <w:sz w:val="24"/>
          <w:highlight w:val="none"/>
        </w:rPr>
        <w:t xml:space="preserve">、法规及本招标文件规定的属无效投标的情形。</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61"/>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513029236"/>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20823309"/>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120614221"/>
      <w:r>
        <w:rPr>
          <w:color w:val="000000" w:themeColor="text1"/>
          <w:highlight w:val="none"/>
        </w:rPr>
      </w:r>
      <w:bookmarkStart w:id="177" w:name="_Toc20823314"/>
      <w:r>
        <w:rPr>
          <w:color w:val="000000" w:themeColor="text1"/>
          <w:highlight w:val="none"/>
        </w:rPr>
      </w:r>
      <w:bookmarkStart w:id="178" w:name="_Toc513029242"/>
      <w:r>
        <w:rPr>
          <w:color w:val="000000" w:themeColor="text1"/>
          <w:highlight w:val="none"/>
        </w:rPr>
      </w:r>
      <w:bookmarkStart w:id="179" w:name="_Toc479757207"/>
      <w:r>
        <w:rPr>
          <w:color w:val="000000" w:themeColor="text1"/>
          <w:highlight w:val="none"/>
        </w:rPr>
      </w:r>
      <w:bookmarkStart w:id="180"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61"/>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16938559"/>
      <w:r>
        <w:rPr>
          <w:color w:val="000000" w:themeColor="text1"/>
          <w:highlight w:val="none"/>
        </w:rPr>
      </w:r>
      <w:bookmarkStart w:id="182" w:name="_Toc513029243"/>
      <w:r>
        <w:rPr>
          <w:color w:val="000000" w:themeColor="text1"/>
          <w:highlight w:val="none"/>
        </w:rPr>
      </w:r>
      <w:bookmarkStart w:id="183" w:name="_Toc20823315"/>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61"/>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江苏省政府采购合同（服务）（合同编号）</w:t>
      </w:r>
      <w:r>
        <w:rPr>
          <w:rFonts w:ascii="宋体" w:hAnsi="宋体"/>
          <w:b/>
          <w:bCs/>
          <w:color w:val="000000" w:themeColor="text1"/>
          <w:sz w:val="30"/>
          <w:szCs w:val="20"/>
          <w:highlight w:val="none"/>
        </w:rPr>
      </w:r>
      <w:r>
        <w:rPr>
          <w:color w:val="000000" w:themeColor="text1"/>
          <w:highlight w:val="none"/>
        </w:rPr>
      </w:r>
    </w:p>
    <w:p>
      <w:pPr>
        <w:pStyle w:val="899"/>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rFonts w:hAnsi="宋体"/>
          <w:color w:val="000000" w:themeColor="text1"/>
          <w:sz w:val="24"/>
          <w:szCs w:val="24"/>
          <w:highlight w:val="none"/>
        </w:rPr>
      </w:r>
      <w:r>
        <w:rPr>
          <w:color w:val="000000" w:themeColor="text1"/>
          <w:highlight w:val="none"/>
        </w:rPr>
      </w:r>
    </w:p>
    <w:p>
      <w:pPr>
        <w:pStyle w:val="899"/>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rFonts w:hAnsi="宋体"/>
          <w:color w:val="000000" w:themeColor="text1"/>
          <w:sz w:val="24"/>
          <w:szCs w:val="24"/>
          <w:highlight w:val="none"/>
        </w:rPr>
      </w:r>
      <w:r>
        <w:rPr>
          <w:color w:val="000000" w:themeColor="text1"/>
          <w:highlight w:val="none"/>
        </w:rPr>
      </w:r>
    </w:p>
    <w:p>
      <w:pPr>
        <w:pStyle w:val="899"/>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rFonts w:hint="eastAsia" w:hAnsi="宋体"/>
          <w:color w:val="000000" w:themeColor="text1"/>
          <w:sz w:val="24"/>
          <w:szCs w:val="24"/>
          <w:highlight w:val="none"/>
        </w:rPr>
      </w:r>
      <w:r>
        <w:rPr>
          <w:color w:val="000000" w:themeColor="text1"/>
          <w:highlight w:val="none"/>
        </w:rPr>
      </w:r>
    </w:p>
    <w:p>
      <w:pPr>
        <w:pStyle w:val="899"/>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rPr>
          <w:rFonts w:ascii="宋体" w:hAnsi="宋体"/>
          <w:bCs/>
          <w:color w:val="000000" w:themeColor="text1"/>
          <w:sz w:val="24"/>
          <w:szCs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r>
      <w:r>
        <w:rPr>
          <w:color w:val="000000" w:themeColor="text1"/>
          <w:highlight w:val="none"/>
        </w:rPr>
      </w:r>
    </w:p>
    <w:p>
      <w:pPr>
        <w:pStyle w:val="861"/>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ascii="宋体" w:hAnsi="宋体"/>
          <w:b/>
          <w:color w:val="000000" w:themeColor="text1"/>
          <w:sz w:val="24"/>
          <w:szCs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rPr>
          <w:rFonts w:ascii="宋体" w:hAnsi="宋体" w:cs="宋体"/>
          <w:color w:val="000000" w:themeColor="text1"/>
          <w:sz w:val="24"/>
          <w:highlight w:val="none"/>
          <w:u w:val="singl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rPr>
          <w:rFonts w:ascii="宋体" w:hAnsi="宋体" w:cs="宋体"/>
          <w:color w:val="000000" w:themeColor="text1"/>
          <w:sz w:val="24"/>
          <w:highlight w:val="none"/>
        </w:rPr>
      </w:r>
      <w:r>
        <w:rPr>
          <w:color w:val="000000" w:themeColor="text1"/>
          <w:highlight w:val="none"/>
        </w:rPr>
      </w:r>
    </w:p>
    <w:p>
      <w:pPr>
        <w:pStyle w:val="861"/>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highlight w:val="none"/>
        </w:rPr>
        <w:t xml:space="preserve"> 或依照法律程序解除部分或全部合同。</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themeColor="text1"/>
          <w:sz w:val="24"/>
          <w:highlight w:val="none"/>
        </w:rPr>
      </w:r>
      <w:r>
        <w:rPr>
          <w:color w:val="000000" w:themeColor="text1"/>
          <w:highlight w:val="none"/>
        </w:rPr>
      </w:r>
    </w:p>
    <w:p>
      <w:pPr>
        <w:pStyle w:val="861"/>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rPr>
          <w:rFonts w:hint="eastAsia" w:ascii="宋体" w:hAnsi="宋体"/>
          <w:bCs/>
          <w:color w:val="000000" w:themeColor="text1"/>
          <w:sz w:val="24"/>
          <w:szCs w:val="24"/>
          <w:highlight w:val="none"/>
        </w:rPr>
      </w:r>
      <w:r>
        <w:rPr>
          <w:color w:val="000000" w:themeColor="text1"/>
          <w:highlight w:val="none"/>
        </w:rPr>
      </w:r>
    </w:p>
    <w:p>
      <w:pPr>
        <w:pStyle w:val="861"/>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rPr>
          <w:rFonts w:hint="eastAsia" w:ascii="宋体" w:hAnsi="宋体"/>
          <w:color w:val="000000" w:themeColor="text1"/>
          <w:sz w:val="24"/>
          <w:szCs w:val="24"/>
          <w:highlight w:val="none"/>
        </w:rPr>
      </w:r>
      <w:r>
        <w:rPr>
          <w:color w:val="000000" w:themeColor="text1"/>
          <w:highlight w:val="none"/>
        </w:rPr>
      </w:r>
    </w:p>
    <w:p>
      <w:pPr>
        <w:pStyle w:val="861"/>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rPr>
          <w:rFonts w:hint="eastAsia" w:ascii="宋体" w:hAnsi="宋体"/>
          <w:bCs/>
          <w:color w:val="000000" w:themeColor="text1"/>
          <w:sz w:val="24"/>
          <w:szCs w:val="24"/>
          <w:highlight w:val="none"/>
        </w:rPr>
      </w:r>
      <w:r>
        <w:rPr>
          <w:color w:val="000000" w:themeColor="text1"/>
          <w:highlight w:val="none"/>
        </w:rP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rPr>
          <w:rFonts w:ascii="宋体" w:hAnsi="宋体" w:cs="宋体"/>
          <w:b/>
          <w:bCs/>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rFonts w:ascii="宋体" w:hAnsi="宋体" w:cs="宋体"/>
          <w:color w:val="000000" w:themeColor="text1"/>
          <w:sz w:val="24"/>
          <w:highlight w:val="none"/>
        </w:rPr>
      </w:r>
      <w:r>
        <w:rPr>
          <w:color w:val="000000" w:themeColor="text1"/>
          <w:highlight w:val="none"/>
        </w:rPr>
      </w:r>
    </w:p>
    <w:p>
      <w:pPr>
        <w:pStyle w:val="861"/>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20614244"/>
      <w:r>
        <w:rPr>
          <w:color w:val="000000" w:themeColor="text1"/>
          <w:highlight w:val="none"/>
        </w:rPr>
      </w:r>
      <w:bookmarkStart w:id="187" w:name="_Toc20823346"/>
      <w:r>
        <w:rPr>
          <w:color w:val="000000" w:themeColor="text1"/>
          <w:highlight w:val="none"/>
        </w:rPr>
      </w:r>
      <w:bookmarkStart w:id="188" w:name="_Toc16938590"/>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61"/>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服务类项目</w:t>
      </w:r>
      <w:r>
        <w:rPr>
          <w:rFonts w:hint="eastAsia" w:ascii="黑体" w:hAnsi="黑体" w:eastAsia="黑体"/>
          <w:color w:val="000000" w:themeColor="text1"/>
          <w:sz w:val="30"/>
          <w:szCs w:val="30"/>
          <w:highlight w:val="none"/>
        </w:rPr>
      </w:r>
      <w:r>
        <w:rPr>
          <w:color w:val="000000" w:themeColor="text1"/>
          <w:highlight w:val="none"/>
        </w:rPr>
      </w:r>
    </w:p>
    <w:p>
      <w:pPr>
        <w:pStyle w:val="86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物业管理</w:t>
      </w:r>
      <w:r>
        <w:rPr>
          <w:rFonts w:hint="eastAsia" w:ascii="宋体" w:hAnsi="宋体"/>
          <w:bCs/>
          <w:color w:val="000000" w:themeColor="text1"/>
          <w:sz w:val="24"/>
          <w:szCs w:val="24"/>
          <w:highlight w:val="none"/>
        </w:rPr>
      </w:r>
      <w:r>
        <w:rPr>
          <w:color w:val="000000" w:themeColor="text1"/>
          <w:highlight w:val="none"/>
        </w:rPr>
      </w:r>
    </w:p>
    <w:p>
      <w:pPr>
        <w:pStyle w:val="861"/>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rPr>
          <w:rFonts w:hint="eastAsia" w:ascii="宋体" w:hAnsi="宋体"/>
          <w:bCs/>
          <w:color w:val="000000" w:themeColor="text1"/>
          <w:sz w:val="24"/>
          <w:szCs w:val="24"/>
          <w:highlight w:val="none"/>
        </w:rPr>
      </w:r>
      <w:r>
        <w:rPr>
          <w:color w:val="000000" w:themeColor="text1"/>
          <w:highlight w:val="none"/>
        </w:rPr>
      </w:r>
    </w:p>
    <w:p>
      <w:pPr>
        <w:pStyle w:val="861"/>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仿宋" w:hAnsi="仿宋" w:eastAsia="仿宋" w:cs="仿宋"/>
          <w:b/>
          <w:color w:val="000000" w:themeColor="text1"/>
          <w:sz w:val="28"/>
          <w:highlight w:val="none"/>
        </w:rPr>
        <w:t xml:space="preserve">项目基本情况</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1.1物业情况</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基本情况：项目位于无锡市滨湖区中南西路500号，大院总占地面积约0.52万平方米，其中绿化面积约1000平方米（含院外东侧步行道）。院内主楼共12层，辅楼3层，副楼3层，建筑面积约2.3万平方米。辅楼内设有餐厅、厨房、洗碗间等配套用房5间，约460平方米左右，另有门卫室1间，约32平方米。</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 采购人提供供应商使用的场地、设施、设备、材料等</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（1）采购人可提供供应商办公室3间（共45平方米）；</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（2）采购人可提供供应商法定工作日期间食堂午餐（双休日、法定节假日不提供），餐费不含在本项目预算中，需由供应商自理。</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供应商应当承担除以上所列场地、设施、设备、材料外，与物业管理服务有关的其他场地、设施、设备、材料等。 </w:t>
      </w:r>
      <w:r>
        <w:rPr>
          <w:rFonts w:hint="eastAsia" w:ascii="宋体" w:hAnsi="宋体"/>
          <w:bCs/>
          <w:color w:val="000000" w:themeColor="text1"/>
          <w:sz w:val="24"/>
          <w:szCs w:val="24"/>
          <w:highlight w:val="none"/>
        </w:rPr>
      </w:r>
      <w:r>
        <w:rPr>
          <w:color w:val="000000" w:themeColor="text1"/>
          <w:highlight w:val="none"/>
        </w:rPr>
      </w:r>
    </w:p>
    <w:p>
      <w:pPr>
        <w:pStyle w:val="861"/>
        <w:numPr>
          <w:ilvl w:val="0"/>
          <w:numId w:val="0"/>
        </w:numPr>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物业服务范围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（1）物业管理（建筑物）</w:t>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2244"/>
        <w:gridCol w:w="3278"/>
        <w:gridCol w:w="2032"/>
      </w:tblGrid>
      <w:tr>
        <w:trPr/>
        <w:tc>
          <w:tcPr>
            <w:gridSpan w:val="2"/>
            <w:tcMar>
              <w:left w:w="108" w:type="dxa"/>
              <w:top w:w="0" w:type="dxa"/>
              <w:right w:w="108" w:type="dxa"/>
              <w:bottom w:w="0" w:type="dxa"/>
            </w:tcMar>
            <w:tcW w:w="3725"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w:t>
            </w:r>
            <w:r>
              <w:rPr>
                <w:color w:val="000000" w:themeColor="text1"/>
                <w:highlight w:val="none"/>
              </w:rPr>
            </w:r>
          </w:p>
        </w:tc>
        <w:tc>
          <w:tcPr>
            <w:tcMar>
              <w:left w:w="108" w:type="dxa"/>
              <w:top w:w="0" w:type="dxa"/>
              <w:right w:w="108" w:type="dxa"/>
              <w:bottom w:w="0" w:type="dxa"/>
            </w:tcMar>
            <w:tcW w:w="3278"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明细</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服务内容及标准</w:t>
            </w:r>
            <w:r>
              <w:rPr>
                <w:color w:val="000000" w:themeColor="text1"/>
                <w:highlight w:val="none"/>
              </w:rPr>
            </w:r>
          </w:p>
        </w:tc>
      </w:tr>
      <w:tr>
        <w:trPr>
          <w:trHeight w:val="338"/>
        </w:trPr>
        <w:tc>
          <w:tcPr>
            <w:gridSpan w:val="2"/>
            <w:tcMar>
              <w:left w:w="108" w:type="dxa"/>
              <w:top w:w="0" w:type="dxa"/>
              <w:right w:w="108" w:type="dxa"/>
              <w:bottom w:w="0" w:type="dxa"/>
            </w:tcMar>
            <w:tcW w:w="372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中南西路500号</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综合楼</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r>
      <w:tr>
        <w:trPr>
          <w:trHeight w:val="90"/>
        </w:trPr>
        <w:tc>
          <w:tcPr>
            <w:tcMar>
              <w:left w:w="108" w:type="dxa"/>
              <w:top w:w="0" w:type="dxa"/>
              <w:right w:w="108" w:type="dxa"/>
              <w:bottom w:w="0" w:type="dxa"/>
            </w:tcMar>
            <w:tcW w:w="1481" w:type="dxa"/>
            <w:vAlign w:val="center"/>
            <w:vMerge w:val="restart"/>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总面积</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建筑面积（㎡）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23000㎡</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见“3.6保安服务”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需保洁面积（㎡）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23000㎡</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rHeight w:val="90"/>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门窗</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门窗总数量（个）及总面积（㎡）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门窗总数720个，总面积约1400㎡</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见“3.2房屋维护服务”“3.4保洁服务”</w:t>
            </w:r>
            <w:r>
              <w:rPr>
                <w:color w:val="000000" w:themeColor="text1"/>
                <w:highlight w:val="none"/>
              </w:rPr>
            </w:r>
          </w:p>
        </w:tc>
      </w:tr>
      <w:tr>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地面</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地面各材质及总面积（㎡）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地砖面积13200㎡，环氧地坪450㎡，总面积13650㎡</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见“3.2房屋维护服务”“3.4保洁服务”</w:t>
            </w:r>
            <w:r>
              <w:rPr>
                <w:color w:val="000000" w:themeColor="text1"/>
                <w:highlight w:val="none"/>
              </w:rPr>
            </w:r>
          </w:p>
        </w:tc>
      </w:tr>
      <w:tr>
        <w:trPr/>
        <w:tc>
          <w:tcPr>
            <w:tcMar>
              <w:left w:w="108" w:type="dxa"/>
              <w:top w:w="0" w:type="dxa"/>
              <w:right w:w="108" w:type="dxa"/>
              <w:bottom w:w="0" w:type="dxa"/>
            </w:tcMar>
            <w:tcW w:w="1481" w:type="dxa"/>
            <w:vAlign w:val="center"/>
            <w:vMerge w:val="restart"/>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外墙</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外墙各材质及总面积（㎡）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干挂石材8000㎡，玻璃幕墙7000㎡，总面积15000㎡</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见“3.2房屋维护服务”“3.4保洁服务”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外墙需清洗面积（㎡）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7000㎡</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rHeight w:val="766"/>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会议室</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会议室数量（个）及总面积（㎡）      </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会议室数量：2个，总面积508㎡</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见“3.2房屋维护服务”“3.4保洁服务”“3.7会议服务”</w:t>
            </w:r>
            <w:r>
              <w:rPr>
                <w:color w:val="000000" w:themeColor="text1"/>
                <w:highlight w:val="none"/>
              </w:rPr>
            </w:r>
          </w:p>
        </w:tc>
      </w:tr>
      <w:tr>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餐厅及厨房</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餐厅厨房数量（个）及总面积（㎡）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餐厅</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个，厨房</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个，总面积</w:t>
            </w:r>
            <w:r>
              <w:rPr>
                <w:rFonts w:eastAsia="Times New Roman"/>
                <w:color w:val="000000" w:themeColor="text1"/>
                <w:sz w:val="18"/>
                <w:highlight w:val="none"/>
              </w:rPr>
              <w:t xml:space="preserve">460</w:t>
            </w:r>
            <w:r>
              <w:rPr>
                <w:rFonts w:ascii="宋体" w:hAnsi="宋体" w:cs="宋体"/>
                <w:color w:val="000000" w:themeColor="text1"/>
                <w:sz w:val="18"/>
                <w:highlight w:val="none"/>
              </w:rPr>
              <w:t xml:space="preserve">㎡</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见“3.2房屋维护服务”“3.4保洁服务”</w:t>
            </w:r>
            <w:r>
              <w:rPr>
                <w:color w:val="000000" w:themeColor="text1"/>
                <w:highlight w:val="none"/>
              </w:rPr>
            </w:r>
          </w:p>
        </w:tc>
      </w:tr>
      <w:tr>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卫生间</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卫生间数量（个）及总面积（㎡）</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卫生间数量</w:t>
            </w:r>
            <w:r>
              <w:rPr>
                <w:rFonts w:eastAsia="Times New Roman"/>
                <w:color w:val="000000" w:themeColor="text1"/>
                <w:sz w:val="18"/>
                <w:highlight w:val="none"/>
              </w:rPr>
              <w:t xml:space="preserve">36</w:t>
            </w:r>
            <w:r>
              <w:rPr>
                <w:rFonts w:ascii="宋体" w:hAnsi="宋体" w:cs="宋体"/>
                <w:color w:val="000000" w:themeColor="text1"/>
                <w:sz w:val="18"/>
                <w:highlight w:val="none"/>
              </w:rPr>
              <w:t xml:space="preserve">间，总面积</w:t>
            </w:r>
            <w:r>
              <w:rPr>
                <w:rFonts w:eastAsia="Times New Roman"/>
                <w:color w:val="000000" w:themeColor="text1"/>
                <w:sz w:val="18"/>
                <w:highlight w:val="none"/>
              </w:rPr>
              <w:t xml:space="preserve">450</w:t>
            </w:r>
            <w:r>
              <w:rPr>
                <w:rFonts w:ascii="宋体" w:hAnsi="宋体" w:cs="宋体"/>
                <w:color w:val="000000" w:themeColor="text1"/>
                <w:sz w:val="18"/>
                <w:highlight w:val="none"/>
              </w:rPr>
              <w:t xml:space="preserve">㎡</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c>
          <w:tcPr>
            <w:tcMar>
              <w:left w:w="108" w:type="dxa"/>
              <w:top w:w="0" w:type="dxa"/>
              <w:right w:w="108" w:type="dxa"/>
              <w:bottom w:w="0" w:type="dxa"/>
            </w:tcMar>
            <w:tcW w:w="1481"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垃圾存放点</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各垃圾存放点位置、面积（㎡）及数量（个）</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院内东北侧，面积8</w:t>
            </w:r>
            <w:r>
              <w:rPr>
                <w:rFonts w:ascii="宋体" w:hAnsi="宋体" w:cs="宋体"/>
                <w:color w:val="000000" w:themeColor="text1"/>
                <w:sz w:val="22"/>
                <w:highlight w:val="none"/>
              </w:rPr>
              <w:t xml:space="preserve">㎡，</w:t>
            </w:r>
            <w:r>
              <w:rPr>
                <w:rFonts w:ascii="宋体" w:hAnsi="宋体" w:cs="宋体"/>
                <w:color w:val="000000" w:themeColor="text1"/>
                <w:sz w:val="18"/>
                <w:highlight w:val="none"/>
              </w:rPr>
              <w:t xml:space="preserve">1处</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c>
          <w:tcPr>
            <w:tcMar>
              <w:left w:w="108" w:type="dxa"/>
              <w:top w:w="0" w:type="dxa"/>
              <w:right w:w="108" w:type="dxa"/>
              <w:bottom w:w="0" w:type="dxa"/>
            </w:tcMar>
            <w:tcW w:w="1481" w:type="dxa"/>
            <w:vAlign w:val="center"/>
            <w:vMerge w:val="restart"/>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highlight w:val="none"/>
              </w:rPr>
              <w:t xml:space="preserve">公用</w:t>
            </w:r>
            <w:r>
              <w:rPr>
                <w:rFonts w:ascii="宋体" w:hAnsi="宋体" w:cs="宋体"/>
                <w:color w:val="000000" w:themeColor="text1"/>
                <w:sz w:val="18"/>
                <w:highlight w:val="none"/>
              </w:rPr>
              <w:t xml:space="preserve">设施设备</w:t>
            </w:r>
            <w:r>
              <w:rPr>
                <w:color w:val="000000" w:themeColor="text1"/>
                <w:highlight w:val="none"/>
              </w:rPr>
            </w:r>
          </w:p>
        </w:tc>
        <w:tc>
          <w:tcPr>
            <w:tcMar>
              <w:left w:w="108" w:type="dxa"/>
              <w:top w:w="0" w:type="dxa"/>
              <w:right w:w="108" w:type="dxa"/>
              <w:bottom w:w="0" w:type="dxa"/>
            </w:tcMar>
            <w:tcW w:w="2244" w:type="dxa"/>
            <w:vAlign w:val="center"/>
            <w:textDirection w:val="lrTb"/>
            <w:noWrap/>
          </w:tcPr>
          <w:p>
            <w:pPr>
              <w:pStyle w:val="861"/>
              <w:rPr>
                <w:rFonts w:hint="eastAsia"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供配电系统</w:t>
            </w:r>
            <w:r>
              <w:rPr>
                <w:rFonts w:hint="eastAsia" w:ascii="宋体" w:hAnsi="宋体" w:cs="宋体"/>
                <w:color w:val="000000" w:themeColor="text1"/>
                <w:sz w:val="18"/>
                <w:highlight w:val="none"/>
              </w:rPr>
              <w:t xml:space="preserve">与设备机房</w:t>
            </w:r>
            <w:r>
              <w:rPr>
                <w:rFonts w:hint="eastAsia" w:ascii="宋体" w:hAnsi="宋体" w:cs="宋体"/>
                <w:color w:val="000000" w:themeColor="text1"/>
                <w:sz w:val="18"/>
                <w:highlight w:val="none"/>
              </w:rPr>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rFonts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变电站1座：10千伏变电设备2套，高低压柜30个；</w:t>
            </w:r>
            <w:r>
              <w:rPr>
                <w:rFonts w:ascii="宋体" w:hAnsi="宋体" w:cs="宋体"/>
                <w:color w:val="000000" w:themeColor="text1"/>
                <w:sz w:val="18"/>
                <w:highlight w:val="none"/>
              </w:rPr>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rFonts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rFonts w:ascii="宋体" w:hAnsi="宋体" w:cs="宋体"/>
                <w:color w:val="000000" w:themeColor="text1"/>
                <w:sz w:val="18"/>
                <w:highlight w:val="none"/>
              </w:rPr>
            </w:r>
            <w:r>
              <w:rPr>
                <w:color w:val="000000" w:themeColor="text1"/>
                <w:highlight w:val="none"/>
              </w:rPr>
            </w:r>
          </w:p>
        </w:tc>
      </w:tr>
      <w:tr>
        <w:trPr/>
        <w:tc>
          <w:tcPr>
            <w:tcMar>
              <w:left w:w="108" w:type="dxa"/>
              <w:top w:w="0" w:type="dxa"/>
              <w:right w:w="108" w:type="dxa"/>
              <w:bottom w:w="0" w:type="dxa"/>
            </w:tcMar>
            <w:tcW w:w="1481" w:type="dxa"/>
            <w:vAlign w:val="center"/>
            <w:vMerge w:val="continue"/>
            <w:textDirection w:val="lrTb"/>
            <w:noWrap/>
          </w:tcPr>
          <w:p>
            <w:pPr>
              <w:pStyle w:val="86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44" w:type="dxa"/>
            <w:vAlign w:val="center"/>
            <w:textDirection w:val="lrTb"/>
            <w:noWrap/>
          </w:tcPr>
          <w:p>
            <w:pPr>
              <w:pStyle w:val="888"/>
              <w:rPr>
                <w:color w:val="000000" w:themeColor="text1"/>
                <w:highlight w:val="none"/>
              </w:rPr>
            </w:pPr>
            <w:r>
              <w:rPr>
                <w:rFonts w:hint="eastAsia"/>
                <w:color w:val="000000" w:themeColor="text1"/>
                <w:highlight w:val="none"/>
                <w:lang w:val="en-US" w:eastAsia="zh-CN"/>
              </w:rPr>
              <w:t xml:space="preserve">给排水系统</w:t>
            </w:r>
            <w:r>
              <w:rPr>
                <w:color w:val="000000" w:themeColor="text1"/>
                <w:highlight w:val="none"/>
                <w:lang w:val="en-US" w:eastAsia="zh-CN"/>
              </w:rPr>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恒压供水系统1套</w:t>
            </w:r>
            <w:r>
              <w:rPr>
                <w:rFonts w:hint="eastAsia" w:ascii="宋体" w:hAnsi="宋体" w:cs="宋体"/>
                <w:color w:val="000000" w:themeColor="text1"/>
                <w:sz w:val="18"/>
                <w:highlight w:val="none"/>
              </w:rPr>
              <w:t xml:space="preserve">，</w:t>
            </w:r>
            <w:r>
              <w:rPr>
                <w:rFonts w:hint="eastAsia" w:ascii="宋体" w:hAnsi="宋体" w:cs="宋体"/>
                <w:color w:val="000000" w:themeColor="text1"/>
                <w:sz w:val="18"/>
                <w:highlight w:val="none"/>
              </w:rPr>
              <w:t xml:space="preserve">排污泵4套，院内雨污水排水管网</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电梯系统</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客运电梯2台（上海三菱客梯13层13站）、送餐电梯1台（无锡新安宏达2层2站)；</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客梯功率11.7KW，送餐梯功率1.5KW、</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 见“3.3公用设施设备维护服务”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空调系统</w:t>
            </w:r>
            <w:r>
              <w:rPr>
                <w:rFonts w:hint="eastAsia"/>
                <w:color w:val="000000" w:themeColor="text1"/>
                <w:highlight w:val="none"/>
              </w:rPr>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美的VRV多联机空调系统及美的分体式空调。</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中央空调14层×25KW=350KW</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立式柜机6×3.5KW=21KW</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挂机16×1.5KW=24KW</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color w:val="000000" w:themeColor="text1"/>
                <w:highlight w:val="none"/>
              </w:rPr>
            </w:r>
          </w:p>
        </w:tc>
      </w:tr>
      <w:tr>
        <w:trPr>
          <w:trHeight w:val="1376"/>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消防系统</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火灾报警控制器1套，钢制防火卷帘门3个，消防泵2个，喷淋泵2个，消防稳压泵2个，喷淋稳压泵2个，七氟丙烷灭火7套，排烟风机2个，屋顶消防水箱1个，湿式报警阀组2组，室内消火栓75个，水泵接合器2个，干粉灭火器176只，排烟防火阀2只，防火门98扇，疏散指示灯83个，应急照明187个，安全出口指示灯75个，喷淋泵控制柜1个，消防泵控制柜1个，水流指示器17只，消防喷淋头725个，实验消火栓1个，烟温探测器436个，消火栓按钮75个，应急广播设备63个；</w:t>
            </w:r>
            <w:r>
              <w:rPr>
                <w:color w:val="000000" w:themeColor="text1"/>
                <w:highlight w:val="none"/>
              </w:rPr>
            </w:r>
          </w:p>
        </w:tc>
        <w:tc>
          <w:tcPr>
            <w:tcMar>
              <w:left w:w="108" w:type="dxa"/>
              <w:top w:w="0" w:type="dxa"/>
              <w:right w:w="108" w:type="dxa"/>
              <w:bottom w:w="0" w:type="dxa"/>
            </w:tcMar>
            <w:tcW w:w="203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highlight w:val="none"/>
              </w:rPr>
              <w:t xml:space="preserve">弱电系统</w:t>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楼宇自控系统、弱电系统、消控系统、大屏幕显示系统；智能化设备：弱电综合布线1套，消控系统1套监控大屏幕显示系统1套，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能源监管系统1套。网络摄像机72台，硬盘录像机3台，4T监控硬盘11台，监视器12台，光纤收发器9套，客户机1台，高清解码器1台，不间断电源1套，接入交换机6套，独立门禁5套，车牌识别系统2套</w:t>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color w:val="000000" w:themeColor="text1"/>
                <w:highlight w:val="none"/>
              </w:rPr>
            </w:r>
          </w:p>
        </w:tc>
      </w:tr>
      <w:tr>
        <w:trPr/>
        <w:tc>
          <w:tcPr>
            <w:tcW w:w="1481" w:type="dxa"/>
            <w:vAlign w:val="top"/>
            <w:vMerge w:val="continue"/>
            <w:textDirection w:val="lrTb"/>
            <w:noWrap w:val="false"/>
          </w:tcPr>
          <w:p>
            <w:pPr>
              <w:pStyle w:val="861"/>
            </w:pPr>
            <w:r/>
            <w:r/>
          </w:p>
        </w:tc>
        <w:tc>
          <w:tcPr>
            <w:tcMar>
              <w:left w:w="108" w:type="dxa"/>
              <w:top w:w="0" w:type="dxa"/>
              <w:right w:w="108" w:type="dxa"/>
              <w:bottom w:w="0" w:type="dxa"/>
            </w:tcMar>
            <w:tcW w:w="2244" w:type="dxa"/>
            <w:vAlign w:val="center"/>
            <w:textDirection w:val="lrTb"/>
            <w:noWrap/>
          </w:tcPr>
          <w:p>
            <w:pPr>
              <w:pStyle w:val="861"/>
              <w:rPr>
                <w:rFonts w:hint="eastAsia"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highlight w:val="none"/>
              </w:rPr>
              <w:t xml:space="preserve">照明系统</w:t>
            </w:r>
            <w:r>
              <w:rPr>
                <w:rFonts w:hint="eastAsia" w:ascii="宋体" w:hAnsi="宋体" w:cs="宋体"/>
                <w:color w:val="000000" w:themeColor="text1"/>
                <w:sz w:val="18"/>
                <w:highlight w:val="none"/>
              </w:rPr>
            </w:r>
            <w:r>
              <w:rPr>
                <w:color w:val="000000" w:themeColor="text1"/>
                <w:highlight w:val="none"/>
              </w:rPr>
            </w:r>
          </w:p>
        </w:tc>
        <w:tc>
          <w:tcPr>
            <w:tcMar>
              <w:left w:w="108" w:type="dxa"/>
              <w:top w:w="0" w:type="dxa"/>
              <w:right w:w="108" w:type="dxa"/>
              <w:bottom w:w="0" w:type="dxa"/>
            </w:tcMar>
            <w:tcW w:w="3278" w:type="dxa"/>
            <w:vAlign w:val="center"/>
            <w:textDirection w:val="lrTb"/>
            <w:noWrap/>
          </w:tcPr>
          <w:p>
            <w:pPr>
              <w:pStyle w:val="861"/>
              <w:rPr>
                <w:rFonts w:hint="eastAsia"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highlight w:val="none"/>
              </w:rPr>
              <w:t xml:space="preserve">室内照明灯530只，室外路灯17套</w:t>
            </w:r>
            <w:r>
              <w:rPr>
                <w:rFonts w:hint="eastAsia" w:ascii="宋体" w:hAnsi="宋体" w:cs="宋体"/>
                <w:color w:val="000000" w:themeColor="text1"/>
                <w:sz w:val="18"/>
                <w:highlight w:val="none"/>
              </w:rPr>
            </w:r>
            <w:r>
              <w:rPr>
                <w:color w:val="000000" w:themeColor="text1"/>
                <w:highlight w:val="none"/>
              </w:rPr>
            </w:r>
          </w:p>
        </w:tc>
        <w:tc>
          <w:tcPr>
            <w:tcMar>
              <w:left w:w="108" w:type="dxa"/>
              <w:top w:w="0" w:type="dxa"/>
              <w:right w:w="108" w:type="dxa"/>
              <w:bottom w:w="0" w:type="dxa"/>
            </w:tcMar>
            <w:tcW w:w="2032" w:type="dxa"/>
            <w:vAlign w:val="center"/>
            <w:textDirection w:val="lrTb"/>
            <w:noWrap/>
          </w:tcPr>
          <w:p>
            <w:pPr>
              <w:pStyle w:val="861"/>
              <w:rPr>
                <w:rFonts w:ascii="宋体" w:hAnsi="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见“3.3公用设施设备维护服务”</w:t>
            </w:r>
            <w:r>
              <w:rPr>
                <w:rFonts w:ascii="宋体" w:hAnsi="宋体" w:cs="宋体"/>
                <w:color w:val="000000" w:themeColor="text1"/>
                <w:sz w:val="18"/>
                <w:highlight w:val="none"/>
              </w:rPr>
            </w:r>
            <w:r>
              <w:rPr>
                <w:color w:val="000000" w:themeColor="text1"/>
                <w:highlight w:val="none"/>
              </w:rPr>
            </w:r>
          </w:p>
        </w:tc>
      </w:tr>
    </w:tbl>
    <w:p>
      <w:pPr>
        <w:pStyle w:val="861"/>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（2）物业管理（室外）</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778"/>
        <w:gridCol w:w="3885"/>
      </w:tblGrid>
      <w:tr>
        <w:trPr/>
        <w:tc>
          <w:tcPr>
            <w:tcMar>
              <w:left w:w="108" w:type="dxa"/>
              <w:top w:w="0" w:type="dxa"/>
              <w:right w:w="108" w:type="dxa"/>
              <w:bottom w:w="0" w:type="dxa"/>
            </w:tcMar>
            <w:tcW w:w="2122"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w:t>
            </w:r>
            <w:r>
              <w:rPr>
                <w:color w:val="000000" w:themeColor="text1"/>
                <w:highlight w:val="none"/>
              </w:rPr>
            </w:r>
          </w:p>
        </w:tc>
        <w:tc>
          <w:tcPr>
            <w:tcMar>
              <w:left w:w="108" w:type="dxa"/>
              <w:top w:w="0" w:type="dxa"/>
              <w:right w:w="108" w:type="dxa"/>
              <w:bottom w:w="0" w:type="dxa"/>
            </w:tcMar>
            <w:tcW w:w="2778"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明细</w:t>
            </w:r>
            <w:r>
              <w:rPr>
                <w:color w:val="000000" w:themeColor="text1"/>
                <w:highlight w:val="none"/>
              </w:rPr>
            </w:r>
          </w:p>
        </w:tc>
        <w:tc>
          <w:tcPr>
            <w:tcMar>
              <w:left w:w="108" w:type="dxa"/>
              <w:top w:w="0" w:type="dxa"/>
              <w:right w:w="108" w:type="dxa"/>
              <w:bottom w:w="0" w:type="dxa"/>
            </w:tcMar>
            <w:tcW w:w="3885"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服务内容及标准</w:t>
            </w:r>
            <w:r>
              <w:rPr>
                <w:color w:val="000000" w:themeColor="text1"/>
                <w:highlight w:val="none"/>
              </w:rPr>
            </w:r>
          </w:p>
        </w:tc>
      </w:tr>
      <w:tr>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室外面积</w:t>
            </w:r>
            <w:r>
              <w:rPr>
                <w:color w:val="000000" w:themeColor="text1"/>
                <w:highlight w:val="none"/>
              </w:rPr>
            </w:r>
          </w:p>
        </w:tc>
        <w:tc>
          <w:tcPr>
            <w:tcMar>
              <w:left w:w="108" w:type="dxa"/>
              <w:top w:w="0" w:type="dxa"/>
              <w:right w:w="108" w:type="dxa"/>
              <w:bottom w:w="0" w:type="dxa"/>
            </w:tcMar>
            <w:tcW w:w="2778"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室外面积5200平方米</w:t>
            </w:r>
            <w:r>
              <w:rPr>
                <w:color w:val="000000" w:themeColor="text1"/>
                <w:highlight w:val="none"/>
              </w:rPr>
            </w:r>
          </w:p>
        </w:tc>
        <w:tc>
          <w:tcPr>
            <w:tcMar>
              <w:left w:w="108" w:type="dxa"/>
              <w:top w:w="0" w:type="dxa"/>
              <w:right w:w="108" w:type="dxa"/>
              <w:bottom w:w="0" w:type="dxa"/>
            </w:tcMar>
            <w:tcW w:w="3885"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见“3.4保洁服务”“3.6保安服务”</w:t>
            </w:r>
            <w:r>
              <w:rPr>
                <w:color w:val="000000" w:themeColor="text1"/>
                <w:highlight w:val="none"/>
              </w:rPr>
            </w:r>
          </w:p>
        </w:tc>
      </w:tr>
      <w:tr>
        <w:trPr>
          <w:trHeight w:val="90"/>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绿化面积</w:t>
            </w:r>
            <w:r>
              <w:rPr>
                <w:color w:val="000000" w:themeColor="text1"/>
                <w:highlight w:val="none"/>
              </w:rPr>
            </w:r>
          </w:p>
        </w:tc>
        <w:tc>
          <w:tcPr>
            <w:tcMar>
              <w:left w:w="108" w:type="dxa"/>
              <w:top w:w="0" w:type="dxa"/>
              <w:right w:w="108" w:type="dxa"/>
              <w:bottom w:w="0" w:type="dxa"/>
            </w:tcMar>
            <w:tcW w:w="2778" w:type="dxa"/>
            <w:vAlign w:val="top"/>
            <w:textDirection w:val="lrTb"/>
            <w:noWrap/>
          </w:tcPr>
          <w:p>
            <w:pPr>
              <w:pStyle w:val="888"/>
              <w:rPr>
                <w:rFonts w:hint="eastAsia"/>
                <w:color w:val="000000" w:themeColor="text1"/>
                <w:highlight w:val="none"/>
              </w:rPr>
            </w:pPr>
            <w:r>
              <w:rPr>
                <w:rFonts w:ascii="宋体" w:hAnsi="宋体" w:cs="宋体"/>
                <w:color w:val="000000" w:themeColor="text1"/>
                <w:sz w:val="18"/>
                <w:highlight w:val="none"/>
                <w:lang w:val="en-US" w:eastAsia="zh-CN"/>
              </w:rPr>
              <w:t xml:space="preserve">绿化面积1000</w:t>
            </w:r>
            <w:r>
              <w:rPr>
                <w:rFonts w:hint="eastAsia"/>
                <w:color w:val="000000" w:themeColor="text1"/>
                <w:highlight w:val="none"/>
                <w:lang w:val="en-US" w:eastAsia="zh-CN"/>
              </w:rPr>
              <w:t xml:space="preserve">平方米</w:t>
            </w:r>
            <w:r>
              <w:rPr>
                <w:rFonts w:hint="eastAsia"/>
                <w:color w:val="000000" w:themeColor="text1"/>
                <w:highlight w:val="none"/>
                <w:lang w:val="en-US" w:eastAsia="zh-CN"/>
              </w:rPr>
            </w:r>
            <w:r>
              <w:rPr>
                <w:color w:val="000000" w:themeColor="text1"/>
                <w:highlight w:val="none"/>
              </w:rPr>
            </w:r>
          </w:p>
        </w:tc>
        <w:tc>
          <w:tcPr>
            <w:tcMar>
              <w:left w:w="108" w:type="dxa"/>
              <w:top w:w="0" w:type="dxa"/>
              <w:right w:w="108" w:type="dxa"/>
              <w:bottom w:w="0" w:type="dxa"/>
            </w:tcMar>
            <w:tcW w:w="3885"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见“3.4保洁服务”“3.5绿化服务”“3.6保安服务”</w:t>
            </w:r>
            <w:r>
              <w:rPr>
                <w:color w:val="000000" w:themeColor="text1"/>
                <w:highlight w:val="none"/>
              </w:rPr>
            </w:r>
          </w:p>
        </w:tc>
      </w:tr>
      <w:tr>
        <w:trPr>
          <w:trHeight w:val="409"/>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地面车位</w:t>
            </w:r>
            <w:r>
              <w:rPr>
                <w:color w:val="000000" w:themeColor="text1"/>
                <w:highlight w:val="none"/>
              </w:rPr>
            </w:r>
          </w:p>
        </w:tc>
        <w:tc>
          <w:tcPr>
            <w:tcMar>
              <w:left w:w="108" w:type="dxa"/>
              <w:top w:w="0" w:type="dxa"/>
              <w:right w:w="108" w:type="dxa"/>
              <w:bottom w:w="0" w:type="dxa"/>
            </w:tcMar>
            <w:tcW w:w="2778"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地面车位60个</w:t>
            </w:r>
            <w:r>
              <w:rPr>
                <w:color w:val="000000" w:themeColor="text1"/>
                <w:highlight w:val="none"/>
              </w:rPr>
            </w:r>
          </w:p>
        </w:tc>
        <w:tc>
          <w:tcPr>
            <w:tcMar>
              <w:left w:w="108" w:type="dxa"/>
              <w:top w:w="0" w:type="dxa"/>
              <w:right w:w="108" w:type="dxa"/>
              <w:bottom w:w="0" w:type="dxa"/>
            </w:tcMar>
            <w:tcW w:w="3885"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见“3.4保洁服务”“3.6保安服务”</w:t>
            </w:r>
            <w:r>
              <w:rPr>
                <w:color w:val="000000" w:themeColor="text1"/>
                <w:highlight w:val="none"/>
              </w:rPr>
            </w:r>
          </w:p>
        </w:tc>
      </w:tr>
      <w:tr>
        <w:trPr>
          <w:trHeight w:val="263"/>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垃圾站</w:t>
            </w:r>
            <w:r>
              <w:rPr>
                <w:color w:val="000000" w:themeColor="text1"/>
                <w:highlight w:val="none"/>
              </w:rPr>
            </w:r>
          </w:p>
        </w:tc>
        <w:tc>
          <w:tcPr>
            <w:tcMar>
              <w:left w:w="108" w:type="dxa"/>
              <w:top w:w="0" w:type="dxa"/>
              <w:right w:w="108" w:type="dxa"/>
              <w:bottom w:w="0" w:type="dxa"/>
            </w:tcMar>
            <w:tcW w:w="2778"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垃圾存放点1处</w:t>
            </w:r>
            <w:r>
              <w:rPr>
                <w:color w:val="000000" w:themeColor="text1"/>
                <w:highlight w:val="none"/>
              </w:rPr>
            </w:r>
          </w:p>
        </w:tc>
        <w:tc>
          <w:tcPr>
            <w:tcMar>
              <w:left w:w="108" w:type="dxa"/>
              <w:top w:w="0" w:type="dxa"/>
              <w:right w:w="108" w:type="dxa"/>
              <w:bottom w:w="0" w:type="dxa"/>
            </w:tcMar>
            <w:tcW w:w="3885"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消防栓</w:t>
            </w:r>
            <w:r>
              <w:rPr>
                <w:color w:val="000000" w:themeColor="text1"/>
                <w:highlight w:val="none"/>
              </w:rPr>
            </w:r>
          </w:p>
        </w:tc>
        <w:tc>
          <w:tcPr>
            <w:tcMar>
              <w:left w:w="108" w:type="dxa"/>
              <w:top w:w="0" w:type="dxa"/>
              <w:right w:w="108" w:type="dxa"/>
              <w:bottom w:w="0" w:type="dxa"/>
            </w:tcMar>
            <w:tcW w:w="27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消防栓4只</w:t>
            </w:r>
            <w:r>
              <w:rPr>
                <w:color w:val="000000" w:themeColor="text1"/>
                <w:highlight w:val="none"/>
              </w:rPr>
            </w:r>
          </w:p>
        </w:tc>
        <w:tc>
          <w:tcPr>
            <w:tcMar>
              <w:left w:w="108" w:type="dxa"/>
              <w:top w:w="0" w:type="dxa"/>
              <w:right w:w="108" w:type="dxa"/>
              <w:bottom w:w="0" w:type="dxa"/>
            </w:tcMar>
            <w:tcW w:w="388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见“3.4保洁服务”“3.3公用设施设备维护服务”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垃圾箱</w:t>
            </w:r>
            <w:r>
              <w:rPr>
                <w:color w:val="000000" w:themeColor="text1"/>
                <w:highlight w:val="none"/>
              </w:rPr>
            </w:r>
          </w:p>
        </w:tc>
        <w:tc>
          <w:tcPr>
            <w:tcMar>
              <w:left w:w="108" w:type="dxa"/>
              <w:top w:w="0" w:type="dxa"/>
              <w:right w:w="108" w:type="dxa"/>
              <w:bottom w:w="0" w:type="dxa"/>
            </w:tcMar>
            <w:tcW w:w="27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垃圾箱10只</w:t>
            </w:r>
            <w:r>
              <w:rPr>
                <w:color w:val="000000" w:themeColor="text1"/>
                <w:highlight w:val="none"/>
              </w:rPr>
            </w:r>
          </w:p>
        </w:tc>
        <w:tc>
          <w:tcPr>
            <w:tcMar>
              <w:left w:w="108" w:type="dxa"/>
              <w:top w:w="0" w:type="dxa"/>
              <w:right w:w="108" w:type="dxa"/>
              <w:bottom w:w="0" w:type="dxa"/>
            </w:tcMar>
            <w:tcW w:w="388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室外配电箱</w:t>
            </w:r>
            <w:r>
              <w:rPr>
                <w:color w:val="000000" w:themeColor="text1"/>
                <w:highlight w:val="none"/>
              </w:rPr>
            </w:r>
          </w:p>
        </w:tc>
        <w:tc>
          <w:tcPr>
            <w:tcMar>
              <w:left w:w="108" w:type="dxa"/>
              <w:top w:w="0" w:type="dxa"/>
              <w:right w:w="108" w:type="dxa"/>
              <w:bottom w:w="0" w:type="dxa"/>
            </w:tcMar>
            <w:tcW w:w="27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室外配电箱3个</w:t>
            </w:r>
            <w:r>
              <w:rPr>
                <w:color w:val="000000" w:themeColor="text1"/>
                <w:highlight w:val="none"/>
              </w:rPr>
            </w:r>
          </w:p>
        </w:tc>
        <w:tc>
          <w:tcPr>
            <w:tcMar>
              <w:left w:w="108" w:type="dxa"/>
              <w:top w:w="0" w:type="dxa"/>
              <w:right w:w="108" w:type="dxa"/>
              <w:bottom w:w="0" w:type="dxa"/>
            </w:tcMar>
            <w:tcW w:w="388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见“3.4保洁服务”“3.3公用设施设备维护服务”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门前三包</w:t>
            </w:r>
            <w:r>
              <w:rPr>
                <w:color w:val="000000" w:themeColor="text1"/>
                <w:highlight w:val="none"/>
              </w:rPr>
            </w:r>
          </w:p>
        </w:tc>
        <w:tc>
          <w:tcPr>
            <w:tcMar>
              <w:left w:w="108" w:type="dxa"/>
              <w:top w:w="0" w:type="dxa"/>
              <w:right w:w="108" w:type="dxa"/>
              <w:bottom w:w="0" w:type="dxa"/>
            </w:tcMar>
            <w:tcW w:w="2778"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面积480㎡</w:t>
            </w:r>
            <w:r>
              <w:rPr>
                <w:color w:val="000000" w:themeColor="text1"/>
                <w:highlight w:val="none"/>
              </w:rPr>
            </w:r>
          </w:p>
        </w:tc>
        <w:tc>
          <w:tcPr>
            <w:tcMar>
              <w:left w:w="108" w:type="dxa"/>
              <w:top w:w="0" w:type="dxa"/>
              <w:right w:w="108" w:type="dxa"/>
              <w:bottom w:w="0" w:type="dxa"/>
            </w:tcMar>
            <w:tcW w:w="388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监控</w:t>
            </w:r>
            <w:r>
              <w:rPr>
                <w:color w:val="000000" w:themeColor="text1"/>
                <w:highlight w:val="none"/>
              </w:rPr>
            </w:r>
          </w:p>
        </w:tc>
        <w:tc>
          <w:tcPr>
            <w:tcMar>
              <w:left w:w="108" w:type="dxa"/>
              <w:top w:w="0" w:type="dxa"/>
              <w:right w:w="108" w:type="dxa"/>
              <w:bottom w:w="0" w:type="dxa"/>
            </w:tcMar>
            <w:tcW w:w="2778"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室外监控11 只</w:t>
            </w:r>
            <w:r>
              <w:rPr>
                <w:color w:val="000000" w:themeColor="text1"/>
                <w:highlight w:val="none"/>
              </w:rPr>
            </w:r>
          </w:p>
        </w:tc>
        <w:tc>
          <w:tcPr>
            <w:tcMar>
              <w:left w:w="108" w:type="dxa"/>
              <w:top w:w="0" w:type="dxa"/>
              <w:right w:w="108" w:type="dxa"/>
              <w:bottom w:w="0" w:type="dxa"/>
            </w:tcMar>
            <w:tcW w:w="3885"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见“3.4保洁服务”“3.3公用设施设备维护服务”</w:t>
            </w:r>
            <w:r>
              <w:rPr>
                <w:color w:val="000000" w:themeColor="text1"/>
                <w:highlight w:val="none"/>
              </w:rPr>
            </w:r>
          </w:p>
        </w:tc>
      </w:tr>
      <w:tr>
        <w:trPr/>
        <w:tc>
          <w:tcPr>
            <w:tcMar>
              <w:left w:w="108" w:type="dxa"/>
              <w:top w:w="0" w:type="dxa"/>
              <w:right w:w="108" w:type="dxa"/>
              <w:bottom w:w="0" w:type="dxa"/>
            </w:tcMar>
            <w:tcW w:w="2122"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指示牌、显示屏</w:t>
            </w:r>
            <w:r>
              <w:rPr>
                <w:color w:val="000000" w:themeColor="text1"/>
                <w:highlight w:val="none"/>
              </w:rPr>
            </w:r>
          </w:p>
        </w:tc>
        <w:tc>
          <w:tcPr>
            <w:tcMar>
              <w:left w:w="108" w:type="dxa"/>
              <w:top w:w="0" w:type="dxa"/>
              <w:right w:w="108" w:type="dxa"/>
              <w:bottom w:w="0" w:type="dxa"/>
            </w:tcMar>
            <w:tcW w:w="2778"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指示牌3块、显示屏0块</w:t>
            </w:r>
            <w:r>
              <w:rPr>
                <w:color w:val="000000" w:themeColor="text1"/>
                <w:highlight w:val="none"/>
              </w:rPr>
            </w:r>
          </w:p>
        </w:tc>
        <w:tc>
          <w:tcPr>
            <w:tcMar>
              <w:left w:w="108" w:type="dxa"/>
              <w:top w:w="0" w:type="dxa"/>
              <w:right w:w="108" w:type="dxa"/>
              <w:bottom w:w="0" w:type="dxa"/>
            </w:tcMar>
            <w:tcW w:w="3885"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见“3.4保洁服务”“3.3公用设施设备维护服务”</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861"/>
        <w:ind w:firstLine="482"/>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3.物业管理服务内容及标准</w:t>
      </w:r>
      <w:r>
        <w:rPr>
          <w:color w:val="000000" w:themeColor="text1"/>
          <w:highlight w:val="none"/>
        </w:rPr>
      </w:r>
    </w:p>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3.1  基本服务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服务标准</w:t>
            </w:r>
            <w:r>
              <w:rPr>
                <w:color w:val="000000" w:themeColor="text1"/>
                <w:highlight w:val="none"/>
              </w:rPr>
            </w:r>
          </w:p>
        </w:tc>
      </w:tr>
      <w:tr>
        <w:trPr>
          <w:trHeight w:val="1365"/>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ind w:firstLine="360"/>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目标与责任</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）结合采购人要求及物业服务实际情况，制定年度管理目标，明确责任分工，并制定配套实施方案。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2</w:t>
            </w:r>
            <w:r>
              <w:rPr>
                <w:rFonts w:ascii="宋体" w:hAnsi="宋体" w:cs="宋体"/>
                <w:color w:val="000000" w:themeColor="text1"/>
                <w:sz w:val="20"/>
                <w:highlight w:val="none"/>
              </w:rPr>
              <w:t xml:space="preserve">）项目服务主要内容及要求包括但不限于：</w:t>
            </w:r>
            <w:r>
              <w:rPr>
                <w:color w:val="000000" w:themeColor="text1"/>
                <w:highlight w:val="none"/>
              </w:rPr>
            </w:r>
          </w:p>
          <w:p>
            <w:pPr>
              <w:pStyle w:val="861"/>
              <w:ind w:firstLine="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根据合同约定和院内及大楼办公区实际，配备具有职业资格的物业管理服务人员和满足服务需要的必要设施设备。</w:t>
            </w:r>
            <w:r>
              <w:rPr>
                <w:color w:val="000000" w:themeColor="text1"/>
                <w:highlight w:val="none"/>
              </w:rPr>
            </w:r>
          </w:p>
          <w:p>
            <w:pPr>
              <w:pStyle w:val="861"/>
              <w:ind w:firstLine="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建立完善的规章制度和完备的服务体系，主要包括物业服务方案、岗位职责、工作流程、服务规范、内控管理制度、人员考核奖惩机制等。</w:t>
            </w:r>
            <w:r>
              <w:rPr>
                <w:color w:val="000000" w:themeColor="text1"/>
                <w:highlight w:val="none"/>
              </w:rPr>
            </w:r>
          </w:p>
          <w:p>
            <w:pPr>
              <w:pStyle w:val="861"/>
              <w:ind w:firstLine="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杜绝火灾责任事故，杜绝刑事案件及安全质量事故；特殊岗位上岗证持有率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；环境卫生、清洁率达</w:t>
            </w:r>
            <w:r>
              <w:rPr>
                <w:rFonts w:eastAsia="Times New Roman"/>
                <w:color w:val="000000" w:themeColor="text1"/>
                <w:sz w:val="20"/>
                <w:highlight w:val="none"/>
              </w:rPr>
              <w:t xml:space="preserve">99%</w:t>
            </w:r>
            <w:r>
              <w:rPr>
                <w:rFonts w:ascii="宋体" w:hAnsi="宋体" w:cs="宋体"/>
                <w:color w:val="000000" w:themeColor="text1"/>
                <w:sz w:val="20"/>
                <w:highlight w:val="none"/>
              </w:rPr>
              <w:t xml:space="preserve">、控虫率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；服务的有效投诉率少于</w:t>
            </w:r>
            <w:r>
              <w:rPr>
                <w:rFonts w:eastAsia="Times New Roman"/>
                <w:color w:val="000000" w:themeColor="text1"/>
                <w:sz w:val="20"/>
                <w:highlight w:val="none"/>
              </w:rPr>
              <w:t xml:space="preserve">5%</w:t>
            </w:r>
            <w:r>
              <w:rPr>
                <w:rFonts w:ascii="宋体" w:hAnsi="宋体" w:cs="宋体"/>
                <w:color w:val="000000" w:themeColor="text1"/>
                <w:sz w:val="20"/>
                <w:highlight w:val="none"/>
              </w:rPr>
              <w:t xml:space="preserve">，处理率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；应急预案完备率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，应急响应处置完成率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；垃圾分类率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；固定资产的合理使用率</w:t>
            </w:r>
            <w:r>
              <w:rPr>
                <w:rFonts w:eastAsia="Times New Roman"/>
                <w:color w:val="000000" w:themeColor="text1"/>
                <w:sz w:val="20"/>
                <w:highlight w:val="none"/>
              </w:rPr>
              <w:t xml:space="preserve">100%</w:t>
            </w:r>
            <w:r>
              <w:rPr>
                <w:rFonts w:ascii="宋体" w:hAnsi="宋体" w:cs="宋体"/>
                <w:color w:val="000000" w:themeColor="text1"/>
                <w:sz w:val="20"/>
                <w:highlight w:val="none"/>
              </w:rPr>
              <w:t xml:space="preserve">；</w:t>
            </w:r>
            <w:r>
              <w:rPr>
                <w:color w:val="000000" w:themeColor="text1"/>
                <w:highlight w:val="none"/>
              </w:rPr>
            </w:r>
          </w:p>
          <w:p>
            <w:pPr>
              <w:pStyle w:val="861"/>
              <w:ind w:firstLine="200"/>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）构建双方预防机制，建立动态完善安全风险等级管控和隐患排查治理双重预防机制，在显著位置张贴风险辨识及管控“四色图”告知点位风险和管控措施。</w:t>
            </w:r>
            <w:r>
              <w:rPr>
                <w:color w:val="000000" w:themeColor="text1"/>
                <w:highlight w:val="none"/>
              </w:rPr>
            </w:r>
          </w:p>
          <w:p>
            <w:pPr>
              <w:pStyle w:val="861"/>
              <w:ind w:firstLine="200"/>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0"/>
                <w:highlight w:val="none"/>
              </w:rPr>
              <w:t xml:space="preserve">2</w:t>
            </w:r>
            <w:r>
              <w:rPr>
                <w:rFonts w:ascii="宋体" w:hAnsi="宋体" w:cs="宋体"/>
                <w:color w:val="000000" w:themeColor="text1"/>
                <w:sz w:val="20"/>
                <w:highlight w:val="none"/>
              </w:rPr>
              <w:t xml:space="preserve">）综合服务满意率</w:t>
            </w:r>
            <w:r>
              <w:rPr>
                <w:rFonts w:eastAsia="Times New Roman"/>
                <w:color w:val="000000" w:themeColor="text1"/>
                <w:sz w:val="20"/>
                <w:highlight w:val="none"/>
              </w:rPr>
              <w:t xml:space="preserve">95%</w:t>
            </w:r>
            <w:r>
              <w:rPr>
                <w:rFonts w:ascii="宋体" w:hAnsi="宋体" w:cs="宋体"/>
                <w:color w:val="000000" w:themeColor="text1"/>
                <w:sz w:val="20"/>
                <w:highlight w:val="none"/>
              </w:rPr>
              <w:t xml:space="preserve">以上，若达不到服务质量要求的，采购人有权</w:t>
            </w:r>
            <w:r>
              <w:rPr>
                <w:rFonts w:hint="eastAsia" w:ascii="宋体" w:hAnsi="宋体" w:cs="宋体"/>
                <w:color w:val="000000" w:themeColor="text1"/>
                <w:sz w:val="20"/>
                <w:highlight w:val="none"/>
              </w:rPr>
              <w:t xml:space="preserve">依法</w:t>
            </w:r>
            <w:r>
              <w:rPr>
                <w:rFonts w:ascii="宋体" w:hAnsi="宋体" w:cs="宋体"/>
                <w:color w:val="000000" w:themeColor="text1"/>
                <w:sz w:val="20"/>
                <w:highlight w:val="none"/>
              </w:rPr>
              <w:t xml:space="preserve">终止合同。</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服务人员要求</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）每季度至少开展</w:t>
            </w: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次岗位技能、职业素质、服务知识、绿色节能环保等教育培训，并进行适当形式的考核。</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2</w:t>
            </w:r>
            <w:r>
              <w:rPr>
                <w:rFonts w:ascii="宋体" w:hAnsi="宋体" w:cs="宋体"/>
                <w:color w:val="000000" w:themeColor="text1"/>
                <w:sz w:val="20"/>
                <w:highlight w:val="none"/>
              </w:rPr>
              <w:t xml:space="preserve">）根据采购人要求对服务人员进行从业资格审查，审查结果向采购人报备。</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3</w:t>
            </w:r>
            <w:r>
              <w:rPr>
                <w:rFonts w:ascii="宋体" w:hAnsi="宋体" w:cs="宋体"/>
                <w:color w:val="000000" w:themeColor="text1"/>
                <w:sz w:val="20"/>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4</w:t>
            </w:r>
            <w:r>
              <w:rPr>
                <w:rFonts w:ascii="宋体" w:hAnsi="宋体" w:cs="宋体"/>
                <w:color w:val="000000" w:themeColor="text1"/>
                <w:sz w:val="20"/>
                <w:highlight w:val="none"/>
              </w:rPr>
              <w:t xml:space="preserve">）如采购人认为服务人员不适应岗位要求或存在其他影响工作的，可要求供应商进行调换。</w:t>
            </w:r>
            <w:r>
              <w:rPr>
                <w:rFonts w:hint="eastAsia" w:ascii="宋体" w:hAnsi="宋体" w:cs="宋体"/>
                <w:color w:val="000000" w:themeColor="text1"/>
                <w:sz w:val="20"/>
                <w:highlight w:val="none"/>
              </w:rPr>
              <w:t xml:space="preserve">原则上</w:t>
            </w:r>
            <w:r>
              <w:rPr>
                <w:rFonts w:ascii="宋体" w:hAnsi="宋体" w:cs="宋体"/>
                <w:color w:val="000000" w:themeColor="text1"/>
                <w:sz w:val="20"/>
                <w:highlight w:val="none"/>
              </w:rPr>
              <w:t xml:space="preserve">供应商</w:t>
            </w:r>
            <w:r>
              <w:rPr>
                <w:rFonts w:hint="eastAsia" w:ascii="宋体" w:hAnsi="宋体" w:cs="宋体"/>
                <w:color w:val="000000" w:themeColor="text1"/>
                <w:sz w:val="20"/>
                <w:highlight w:val="none"/>
              </w:rPr>
              <w:t xml:space="preserve">不得自行对</w:t>
            </w:r>
            <w:r>
              <w:rPr>
                <w:rFonts w:ascii="宋体" w:hAnsi="宋体" w:cs="宋体"/>
                <w:color w:val="000000" w:themeColor="text1"/>
                <w:sz w:val="20"/>
                <w:highlight w:val="none"/>
              </w:rPr>
              <w:t xml:space="preserve">服务人员进行调换</w:t>
            </w:r>
            <w:r>
              <w:rPr>
                <w:rFonts w:hint="eastAsia"/>
                <w:color w:val="000000" w:themeColor="text1"/>
                <w:highlight w:val="none"/>
              </w:rPr>
              <w:t xml:space="preserve">，</w:t>
            </w:r>
            <w:r>
              <w:rPr>
                <w:rFonts w:ascii="宋体" w:hAnsi="宋体" w:cs="宋体"/>
                <w:color w:val="000000" w:themeColor="text1"/>
                <w:sz w:val="20"/>
                <w:highlight w:val="none"/>
              </w:rPr>
              <w:t xml:space="preserve">本项目服务人员不得在其他项目兼职。</w:t>
            </w:r>
            <w:r>
              <w:rPr>
                <w:color w:val="000000" w:themeColor="text1"/>
                <w:highlight w:val="none"/>
              </w:rPr>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5</w:t>
            </w:r>
            <w:r>
              <w:rPr>
                <w:rFonts w:ascii="宋体" w:hAnsi="宋体" w:cs="宋体"/>
                <w:color w:val="000000" w:themeColor="text1"/>
                <w:sz w:val="20"/>
                <w:highlight w:val="none"/>
              </w:rPr>
              <w:t xml:space="preserve">）着装分类统一，佩戴标识。仪容整洁、姿态端正、举止文明。用语文明礼貌，态度温和耐心。</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保密和思想政治教育</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）建立保密管理制度。制度内容应当包括但不限于：</w:t>
            </w:r>
            <w:r>
              <w:rPr>
                <w:rFonts w:eastAsia="Times New Roman"/>
                <w:color w:val="000000" w:themeColor="text1"/>
                <w:sz w:val="20"/>
                <w:highlight w:val="none"/>
              </w:rPr>
              <w:t xml:space="preserve">①</w:t>
            </w:r>
            <w:r>
              <w:rPr>
                <w:rFonts w:ascii="宋体" w:hAnsi="宋体" w:cs="宋体"/>
                <w:color w:val="000000" w:themeColor="text1"/>
                <w:sz w:val="20"/>
                <w:highlight w:val="none"/>
              </w:rPr>
              <w:t xml:space="preserve">明确重点要害岗位保密职责。</w:t>
            </w:r>
            <w:r>
              <w:rPr>
                <w:rFonts w:eastAsia="Times New Roman"/>
                <w:color w:val="000000" w:themeColor="text1"/>
                <w:sz w:val="20"/>
                <w:highlight w:val="none"/>
              </w:rPr>
              <w:t xml:space="preserve">②</w:t>
            </w:r>
            <w:r>
              <w:rPr>
                <w:rFonts w:ascii="宋体" w:hAnsi="宋体" w:cs="宋体"/>
                <w:color w:val="000000" w:themeColor="text1"/>
                <w:sz w:val="20"/>
                <w:highlight w:val="none"/>
              </w:rPr>
              <w:t xml:space="preserve">对涉密工作岗位的保密要求。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2</w:t>
            </w:r>
            <w:r>
              <w:rPr>
                <w:rFonts w:ascii="宋体" w:hAnsi="宋体" w:cs="宋体"/>
                <w:color w:val="000000" w:themeColor="text1"/>
                <w:sz w:val="20"/>
                <w:highlight w:val="none"/>
              </w:rPr>
              <w:t xml:space="preserve">）根据采购人要求与涉密工作岗位的服务人员签订保密协议。保密协议应当向采购人报备。</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3</w:t>
            </w:r>
            <w:r>
              <w:rPr>
                <w:rFonts w:ascii="宋体" w:hAnsi="宋体" w:cs="宋体"/>
                <w:color w:val="000000" w:themeColor="text1"/>
                <w:sz w:val="20"/>
                <w:highlight w:val="none"/>
              </w:rPr>
              <w:t xml:space="preserve">）每季度至少开展</w:t>
            </w:r>
            <w:r>
              <w:rPr>
                <w:rFonts w:eastAsia="Times New Roman"/>
                <w:color w:val="000000" w:themeColor="text1"/>
                <w:sz w:val="20"/>
                <w:highlight w:val="none"/>
              </w:rPr>
              <w:t xml:space="preserve">1</w:t>
            </w:r>
            <w:r>
              <w:rPr>
                <w:rFonts w:ascii="宋体" w:hAnsi="宋体" w:cs="宋体"/>
                <w:color w:val="000000" w:themeColor="text1"/>
                <w:sz w:val="20"/>
                <w:highlight w:val="none"/>
              </w:rPr>
              <w:t xml:space="preserve">次对服务人员进行保密、思想政治教育的培训，提高服务人员保密意识和思想政治意识。新入职员工应当接受保密、思想政治教育培训，进行必要的人员经历审查，合格后签订保密协议方可上岗。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highlight w:val="none"/>
              </w:rPr>
              <w:t xml:space="preserve">（</w:t>
            </w:r>
            <w:r>
              <w:rPr>
                <w:rFonts w:eastAsia="Times New Roman"/>
                <w:color w:val="000000" w:themeColor="text1"/>
                <w:sz w:val="20"/>
                <w:highlight w:val="none"/>
              </w:rPr>
              <w:t xml:space="preserve">4</w:t>
            </w:r>
            <w:r>
              <w:rPr>
                <w:rFonts w:ascii="宋体" w:hAnsi="宋体" w:cs="宋体"/>
                <w:color w:val="000000" w:themeColor="text1"/>
                <w:sz w:val="20"/>
                <w:highlight w:val="none"/>
              </w:rPr>
              <w:t xml:space="preserve">）发现服务人员违法违规或重大过失，及时报告采购人，并采取必要补救措施。</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档案管理</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）建立物业信息，准确、及时地对文件资料和服务记录进行归档保存，并确保其物理安全。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）档案和记录齐全，包括但不限于：①采购人建议与投诉等。教育培训和考核记录。保密、思想政治教育培训记录。②房屋维护服务：房屋台账、使用说明、房屋装修、维保记录等。③公用设施设备维 护服务：设备台账、设备卡、使用说明、维保记录、巡查记录、设施设备安全运行、设施设备定期巡检、维护保养、维修档案等。④保安服务：监控记录、突发事件演习与处置记录等。⑤保洁服务：工作日志、清洁检查表、用品清单、意见反馈表等。⑥绿化服务：绿化总平面图、清洁整改记录、消杀记录等。⑦其他：合同协议、信报信息登记、大件物品进出登记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）遵守采购人的信息、档案资料保密要求，未经许可，不得将建筑物平面图等资料转作其他用途或向其他单位、个人提供。</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分包供应商管理</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）合理控制外包服务人员数量和流动率。</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）根据采购人要求明确对分包供应商的要求，确定工作流程。</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）明确安全管理责任和保密责任，签订安全管理责任书和保密责任书。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）开展服务检查和监管，评估服务效果，必要时进行服务流程调整。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）根据工作反馈意见与建议，持续提升服务品质。</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6</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服务改进</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）明确负责人，定期对物业服务过程进行自查，结合反馈意见与评价结果采取改进措施，持续提升管理与服务水平。</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）对不合格服务进行控制，对不合格服务的原因进行识别和分析，及时采取纠正措施，消除不合格的原因，防止不合格服务再发生。</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）需整改问题及时整改完成。</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7</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重大活动后勤保障</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）制订流程。配合采购人制订重大活动后勤保障工作流程，需对任务进行详细了解，并根据工作安排制定详细的后勤保障计划。</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）收尾工作。对现场进行检查，做好清理工作。</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8</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应急保障预案</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）重点区域及安全隐患排查。结合项目的实际情况，对重点部位及危险隐患进行排查，并建立清单</w:t>
            </w:r>
            <w:r>
              <w:rPr>
                <w:rFonts w:eastAsia="Times New Roman"/>
                <w:color w:val="000000" w:themeColor="text1"/>
                <w:sz w:val="18"/>
                <w:highlight w:val="none"/>
              </w:rPr>
              <w:t xml:space="preserve">/</w:t>
            </w:r>
            <w:r>
              <w:rPr>
                <w:rFonts w:ascii="宋体" w:hAnsi="宋体" w:cs="宋体"/>
                <w:color w:val="000000" w:themeColor="text1"/>
                <w:sz w:val="18"/>
                <w:highlight w:val="none"/>
              </w:rPr>
              <w:t xml:space="preserve">台账；应当对危险隐患进行风险分析，制定相应措施进行控制或整改并定期监控；随着设施设备、服务内容的变化，及时更新清单</w:t>
            </w:r>
            <w:r>
              <w:rPr>
                <w:rFonts w:eastAsia="Times New Roman"/>
                <w:color w:val="000000" w:themeColor="text1"/>
                <w:sz w:val="18"/>
                <w:highlight w:val="none"/>
              </w:rPr>
              <w:t xml:space="preserve">/</w:t>
            </w:r>
            <w:r>
              <w:rPr>
                <w:rFonts w:ascii="宋体" w:hAnsi="宋体" w:cs="宋体"/>
                <w:color w:val="000000" w:themeColor="text1"/>
                <w:sz w:val="18"/>
                <w:highlight w:val="none"/>
              </w:rPr>
              <w:t xml:space="preserve">台账，使风险隐患始终处于受控状态。</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应急预案的建立。根据隐患排查的结果和实际情况，制定专项预案，包括但不限于：火情火警紧急处理应急预案、紧急疏散应急预案、停水停电应急预案、有限空间救援应急预案、高空作业救援应急预案、恶劣天气应对应急预案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）应急物资的管理。根据专项预案中的应对需要、必要的应急物资，建立清单或台账，并由专人定期对应急物资进行检查，如有应急物资不足，及时购置齐全，确保能够随时正常使用。</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9</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服务方案及工作制度</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）制定工作制度，主要包括：人员录用制度、档案管理制度、物业服务管理制度、公用设施设备相关管理制度等。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）制定项目实施方案，主要包括：交接方案、人员培训方案、人员稳定性方案、保密方案等。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）制定物业服务方案，主要包括：房屋维护服务方案、公用设施设备维护服务方案、绿化服务方案、保洁服务方案、保安服务方案、会议服务方案等。</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10</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信报服务</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）对邮件、包裹和挂号信等进行正确分类、安全检查和卫生防疫检查。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）及时投送或通知收件人领取。</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）大件物品出入向采购人报告，待采购人确认无误后放行。</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11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服务热线及紧急维修</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）设置 </w:t>
            </w:r>
            <w:r>
              <w:rPr>
                <w:rFonts w:eastAsia="Times New Roman"/>
                <w:color w:val="000000" w:themeColor="text1"/>
                <w:sz w:val="18"/>
                <w:highlight w:val="none"/>
              </w:rPr>
              <w:t xml:space="preserve">24</w:t>
            </w:r>
            <w:r>
              <w:rPr>
                <w:rFonts w:ascii="宋体" w:hAnsi="宋体" w:cs="宋体"/>
                <w:color w:val="000000" w:themeColor="text1"/>
                <w:sz w:val="18"/>
                <w:highlight w:val="none"/>
              </w:rPr>
              <w:t xml:space="preserve">小时报修服务热线。</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）紧急维修应当 </w:t>
            </w:r>
            <w:r>
              <w:rPr>
                <w:rFonts w:eastAsia="Times New Roman"/>
                <w:color w:val="000000" w:themeColor="text1"/>
                <w:sz w:val="18"/>
                <w:highlight w:val="none"/>
              </w:rPr>
              <w:t xml:space="preserve">15</w:t>
            </w:r>
            <w:r>
              <w:rPr>
                <w:rFonts w:ascii="宋体" w:hAnsi="宋体" w:cs="宋体"/>
                <w:color w:val="000000" w:themeColor="text1"/>
                <w:sz w:val="18"/>
                <w:highlight w:val="none"/>
              </w:rPr>
              <w:t xml:space="preserve">分钟内到达现场，不间断维修直至修复，特殊情况及时报备。</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3.2  房屋维护服务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主体结构、围护结构、部品部件</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次房屋结构安全巡视，发现外观有变形、开裂等现象，及时建议采购人申请房屋安全鉴定，并采取必要的避险和防护措施。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）每季度至少开展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次外墙贴饰面、幕墙玻璃、雨棚、散水、空调室外机支撑构件等检查，发现破损，及时向采购人报告，按采购人要求出具维修方案，待采购人同意后按维修方案实施维修。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）每半月至少开展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次公用部位的门、窗、楼梯、通风道、室内地面、墙面、吊顶和室外屋面等巡查，发现破损，及时向采购人报告，按采购人要求出具维修方案，待采购人同意后按维修方案实施维修。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）每年强降雨天气前后、雨雪季节检查屋面防水和雨落管等，发现破损，及时向采购人报告，按采购人要求出具维修方案，待采购人同意后按维修方案实施维修。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）综合楼外观完好，建筑装饰面无脱落、无破损、无污渍，玻璃幕墙清洁明亮、无破损。</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）通道、楼梯、门窗等设施的完好和正常使用。</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其他设施</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）每半月至少开展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次大门及道闸、围墙、道路、场地、管井、沟渠等巡查，每半月至少检查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次雨污水管井、化粪池等巡查，发现破损，及时向采购人报告，按采购人要求出具维修方案，待采购人同意后按维修方案实施维修。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）每年至少开展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次防雷装置检测，发现失效，及时向采购人报告，按采购人要求出具维修方案，待采购人同意后按维修方案实施维修。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）路面状态良好，排水系统通畅不堵塞。</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）接到采购人家具报修服务后，及时通知家具供货商对保修期内的家具进行维修，及时对保修期外的家具进行维修。</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装饰装修监督管理</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）楼内办公用房装饰装修前，对进场施工的装修企业签订装饰装修施工安全协议，告知装饰装修须知，并对装饰装修过程进行管理服务。</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）根据协议内容，做好装修垃圾临时堆放等。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）受采购人委托对房屋内装修进行严格的监督管理，发现问题及时上报，确保不因装修而危及大楼结构安全、人身安全和影响正常办公秩序。</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标识标牌</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）标识标牌符合《公共信息图形符号第</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部分：通用符号》（</w:t>
            </w:r>
            <w:r>
              <w:rPr>
                <w:rFonts w:eastAsia="Times New Roman"/>
                <w:color w:val="000000" w:themeColor="text1"/>
                <w:sz w:val="18"/>
                <w:highlight w:val="none"/>
              </w:rPr>
              <w:t xml:space="preserve">GB/T 10001.1</w:t>
            </w:r>
            <w:r>
              <w:rPr>
                <w:rFonts w:ascii="宋体" w:hAnsi="宋体" w:cs="宋体"/>
                <w:color w:val="000000" w:themeColor="text1"/>
                <w:sz w:val="18"/>
                <w:highlight w:val="none"/>
              </w:rPr>
              <w:t xml:space="preserve">）的相关要求，消防安全标识符合《安全标志及其使用导则》（</w:t>
            </w:r>
            <w:bookmarkStart w:id="193" w:name="OLE_LINK4"/>
            <w:r>
              <w:rPr>
                <w:color w:val="000000" w:themeColor="text1"/>
                <w:highlight w:val="none"/>
              </w:rPr>
            </w:r>
            <w:bookmarkStart w:id="194" w:name="OLE_LINK3"/>
            <w:r>
              <w:rPr>
                <w:rFonts w:eastAsia="Times New Roman"/>
                <w:color w:val="000000" w:themeColor="text1"/>
                <w:sz w:val="18"/>
                <w:highlight w:val="none"/>
              </w:rPr>
              <w:t xml:space="preserve">GB2894</w:t>
            </w:r>
            <w:bookmarkEnd w:id="193"/>
            <w:r>
              <w:rPr>
                <w:color w:val="000000" w:themeColor="text1"/>
                <w:highlight w:val="none"/>
              </w:rPr>
            </w:r>
            <w:bookmarkEnd w:id="194"/>
            <w:r>
              <w:rPr>
                <w:rFonts w:ascii="宋体" w:hAnsi="宋体" w:cs="宋体"/>
                <w:color w:val="000000" w:themeColor="text1"/>
                <w:sz w:val="18"/>
                <w:highlight w:val="none"/>
              </w:rPr>
              <w:t xml:space="preserve">）、《消防安全标志 第</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部分：标志》（</w:t>
            </w:r>
            <w:bookmarkStart w:id="195" w:name="OLE_LINK5"/>
            <w:r>
              <w:rPr>
                <w:color w:val="000000" w:themeColor="text1"/>
                <w:highlight w:val="none"/>
              </w:rPr>
            </w:r>
            <w:bookmarkStart w:id="196" w:name="OLE_LINK6"/>
            <w:r>
              <w:rPr>
                <w:rFonts w:eastAsia="Times New Roman"/>
                <w:color w:val="000000" w:themeColor="text1"/>
                <w:sz w:val="18"/>
                <w:highlight w:val="none"/>
              </w:rPr>
              <w:t xml:space="preserve">GB13495.1</w:t>
            </w:r>
            <w:bookmarkEnd w:id="195"/>
            <w:r>
              <w:rPr>
                <w:color w:val="000000" w:themeColor="text1"/>
                <w:highlight w:val="none"/>
              </w:rPr>
            </w:r>
            <w:bookmarkEnd w:id="196"/>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）每月至少检查</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次标识标牌和消防安全标识。应当规范清晰、路线指引正确、安装稳固。</w:t>
            </w:r>
            <w:r>
              <w:rPr>
                <w:color w:val="000000" w:themeColor="text1"/>
                <w:highlight w:val="none"/>
              </w:rPr>
            </w:r>
          </w:p>
        </w:tc>
      </w:tr>
    </w:tbl>
    <w:p>
      <w:pPr>
        <w:pStyle w:val="861"/>
        <w:ind w:firstLine="480"/>
        <w:rPr>
          <w:rFonts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r>
      <w:r>
        <w:rPr>
          <w:color w:val="000000" w:themeColor="text1"/>
          <w:highlight w:val="none"/>
        </w:rPr>
      </w:r>
    </w:p>
    <w:p>
      <w:pPr>
        <w:pStyle w:val="861"/>
        <w:ind w:firstLine="56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3.3  公用设施设备维护服务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15"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rHeight w:val="1085"/>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基本要求</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）每月及重大节假日及恶劣天气前后，组织系统巡检</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）具备设施设备安全、稳定运行的环境和场所（含有限空间），温湿度、照度、粉尘和烟雾浓度等符合相关安全规范。</w:t>
            </w:r>
            <w:r>
              <w:rPr>
                <w:color w:val="000000" w:themeColor="text1"/>
                <w:highlight w:val="none"/>
              </w:rPr>
            </w:r>
          </w:p>
        </w:tc>
      </w:tr>
      <w:tr>
        <w:trPr>
          <w:trHeight w:val="2439"/>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设备机房</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）设备机房门窗、锁具应当完好、有效。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）每半月至少开展 </w:t>
            </w:r>
            <w:r>
              <w:rPr>
                <w:rFonts w:eastAsia="Times New Roman"/>
                <w:color w:val="000000" w:themeColor="text1"/>
                <w:sz w:val="18"/>
                <w:highlight w:val="none"/>
              </w:rPr>
              <w:t xml:space="preserve">1 </w:t>
            </w:r>
            <w:r>
              <w:rPr>
                <w:rFonts w:ascii="宋体" w:hAnsi="宋体" w:cs="宋体"/>
                <w:color w:val="000000" w:themeColor="text1"/>
                <w:sz w:val="18"/>
                <w:highlight w:val="none"/>
              </w:rPr>
              <w:t xml:space="preserve">次清洁，整洁有序、无杂物、无积尘、无鼠、无虫害，温湿度符合设备运行要求。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）按各设备机房国家标准规范规定维护</w:t>
            </w:r>
            <w:r>
              <w:rPr>
                <w:rFonts w:eastAsia="Times New Roman"/>
                <w:color w:val="000000" w:themeColor="text1"/>
                <w:sz w:val="18"/>
                <w:highlight w:val="none"/>
              </w:rPr>
              <w:t xml:space="preserve">/</w:t>
            </w:r>
            <w:r>
              <w:rPr>
                <w:rFonts w:ascii="宋体" w:hAnsi="宋体" w:cs="宋体"/>
                <w:color w:val="000000" w:themeColor="text1"/>
                <w:sz w:val="18"/>
                <w:highlight w:val="none"/>
              </w:rPr>
              <w:t xml:space="preserve">保管消防、通风、应急照明，防止小动物进入。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）安全防护用具配置齐全，检验合格。</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）应急设施设备用品应当齐全、完备，可随时启用。</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给排水系统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）生活饮用水卫生符合《生活饮用水卫生标准》（</w:t>
            </w:r>
            <w:bookmarkStart w:id="197" w:name="OLE_LINK7"/>
            <w:r>
              <w:rPr>
                <w:color w:val="000000" w:themeColor="text1"/>
                <w:highlight w:val="none"/>
              </w:rPr>
            </w:r>
            <w:bookmarkStart w:id="198" w:name="OLE_LINK8"/>
            <w:r>
              <w:rPr>
                <w:rFonts w:eastAsia="Times New Roman"/>
                <w:color w:val="000000" w:themeColor="text1"/>
                <w:sz w:val="18"/>
                <w:highlight w:val="none"/>
              </w:rPr>
              <w:t xml:space="preserve">GB5749</w:t>
            </w:r>
            <w:bookmarkEnd w:id="197"/>
            <w:r>
              <w:rPr>
                <w:color w:val="000000" w:themeColor="text1"/>
                <w:highlight w:val="none"/>
              </w:rPr>
            </w:r>
            <w:bookmarkEnd w:id="198"/>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）二次供水卫生符合《二次供水设施卫生规范》（</w:t>
            </w:r>
            <w:bookmarkStart w:id="199" w:name="OLE_LINK10"/>
            <w:r>
              <w:rPr>
                <w:color w:val="000000" w:themeColor="text1"/>
                <w:highlight w:val="none"/>
              </w:rPr>
            </w:r>
            <w:bookmarkStart w:id="200" w:name="OLE_LINK9"/>
            <w:r>
              <w:rPr>
                <w:rFonts w:eastAsia="Times New Roman"/>
                <w:color w:val="000000" w:themeColor="text1"/>
                <w:sz w:val="18"/>
                <w:highlight w:val="none"/>
              </w:rPr>
              <w:t xml:space="preserve">GB17051</w:t>
            </w:r>
            <w:bookmarkEnd w:id="199"/>
            <w:r>
              <w:rPr>
                <w:color w:val="000000" w:themeColor="text1"/>
                <w:highlight w:val="none"/>
              </w:rPr>
            </w:r>
            <w:bookmarkEnd w:id="200"/>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）设施设备、阀门、管道等运行正常，无跑、冒、滴、漏现象。</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）水泵房、水箱每日至少巡视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次。每年至少养护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次水泵。</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）遇供水单位限水、停水，按规定时间通知采购人。</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）每季度至少开展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次对排水管进行疏通、清污，保证室内外排水系统通畅。</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）水箱每年清洗</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次，确保饮用水安全；开水炉每年清洗</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次。</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sz w:val="18"/>
                <w:szCs w:val="18"/>
                <w:highlight w:val="none"/>
              </w:rPr>
              <w:t xml:space="preserve">电梯系统的维护和保养服务</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服务标准：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）电梯运行平稳、无异响、平层、开关正常。每周至少开展</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次电梯的安全状况检查。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）电梯准用证、年检合格证等证件齐全。相关证件、紧急救援电话和乘客注意事项置于轿厢醒目位置。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）每年至少开展</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次对电梯的全面检测，并出具检测报告，核发电梯使用标志。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）电梯维保应当符合《电梯维护保养规则》（</w:t>
            </w:r>
            <w:bookmarkStart w:id="201" w:name="OLE_LINK11"/>
            <w:r>
              <w:rPr>
                <w:color w:val="000000" w:themeColor="text1"/>
                <w:highlight w:val="none"/>
              </w:rPr>
            </w:r>
            <w:bookmarkStart w:id="202" w:name="OLE_LINK12"/>
            <w:r>
              <w:rPr>
                <w:rFonts w:eastAsia="Times New Roman"/>
                <w:color w:val="000000" w:themeColor="text1"/>
                <w:sz w:val="18"/>
                <w:highlight w:val="none"/>
              </w:rPr>
              <w:t xml:space="preserve">TSG T5002</w:t>
            </w:r>
            <w:bookmarkEnd w:id="201"/>
            <w:r>
              <w:rPr>
                <w:color w:val="000000" w:themeColor="text1"/>
                <w:highlight w:val="none"/>
              </w:rPr>
            </w:r>
            <w:bookmarkEnd w:id="202"/>
            <w:r>
              <w:rPr>
                <w:rFonts w:ascii="宋体" w:hAnsi="宋体" w:cs="宋体"/>
                <w:color w:val="000000" w:themeColor="text1"/>
                <w:sz w:val="18"/>
                <w:highlight w:val="none"/>
              </w:rPr>
              <w:t xml:space="preserve">）的有关要求。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）电梯使用应当符合《特种设备使用管理规则》（</w:t>
            </w:r>
            <w:bookmarkStart w:id="203" w:name="OLE_LINK13"/>
            <w:r>
              <w:rPr>
                <w:color w:val="000000" w:themeColor="text1"/>
                <w:highlight w:val="none"/>
              </w:rPr>
            </w:r>
            <w:bookmarkStart w:id="204" w:name="OLE_LINK14"/>
            <w:r>
              <w:rPr>
                <w:rFonts w:eastAsia="Times New Roman"/>
                <w:color w:val="000000" w:themeColor="text1"/>
                <w:sz w:val="18"/>
                <w:highlight w:val="none"/>
              </w:rPr>
              <w:t xml:space="preserve">TSG08</w:t>
            </w:r>
            <w:bookmarkEnd w:id="203"/>
            <w:r>
              <w:rPr>
                <w:color w:val="000000" w:themeColor="text1"/>
                <w:highlight w:val="none"/>
              </w:rPr>
            </w:r>
            <w:bookmarkEnd w:id="204"/>
            <w:r>
              <w:rPr>
                <w:rFonts w:ascii="宋体" w:hAnsi="宋体" w:cs="宋体"/>
                <w:color w:val="000000" w:themeColor="text1"/>
                <w:sz w:val="18"/>
                <w:highlight w:val="none"/>
              </w:rPr>
              <w:t xml:space="preserve">）的有关要求。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）有电梯突发事件或事故的应急措施与救援预案，每年至少开展演练</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次。电梯出现故障，物业服务人员</w:t>
            </w:r>
            <w:r>
              <w:rPr>
                <w:rFonts w:eastAsia="Times New Roman"/>
                <w:color w:val="000000" w:themeColor="text1"/>
                <w:sz w:val="18"/>
                <w:highlight w:val="none"/>
              </w:rPr>
              <w:t xml:space="preserve">10</w:t>
            </w:r>
            <w:r>
              <w:rPr>
                <w:rFonts w:ascii="宋体" w:hAnsi="宋体" w:cs="宋体"/>
                <w:color w:val="000000" w:themeColor="text1"/>
                <w:sz w:val="18"/>
                <w:highlight w:val="none"/>
              </w:rPr>
              <w:t xml:space="preserve">分钟内到场应急处理，维保专业人员</w:t>
            </w:r>
            <w:r>
              <w:rPr>
                <w:rFonts w:eastAsia="Times New Roman"/>
                <w:color w:val="000000" w:themeColor="text1"/>
                <w:sz w:val="18"/>
                <w:highlight w:val="none"/>
              </w:rPr>
              <w:t xml:space="preserve">30</w:t>
            </w:r>
            <w:r>
              <w:rPr>
                <w:rFonts w:ascii="宋体" w:hAnsi="宋体" w:cs="宋体"/>
                <w:color w:val="000000" w:themeColor="text1"/>
                <w:sz w:val="18"/>
                <w:highlight w:val="none"/>
              </w:rPr>
              <w:t xml:space="preserve">分钟内到场应急处理。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）到场进行救助和排除故障。电梯紧急电话保持畅通。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）电梯维修、保养时在现场设置提示标识和防护围栏。</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9</w:t>
            </w:r>
            <w:r>
              <w:rPr>
                <w:rFonts w:ascii="宋体" w:hAnsi="宋体" w:cs="宋体"/>
                <w:color w:val="000000" w:themeColor="text1"/>
                <w:sz w:val="18"/>
                <w:highlight w:val="none"/>
              </w:rPr>
              <w:t xml:space="preserve">）根据采购人需求，合理设置电梯开启的数量、时间。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注：电梯系统维保服务采购人允许中标后进行分包，具体内容</w:t>
            </w:r>
            <w:r>
              <w:rPr>
                <w:rFonts w:ascii="宋体" w:hAnsi="宋体" w:cs="宋体"/>
                <w:color w:val="000000" w:themeColor="text1"/>
                <w:sz w:val="18"/>
                <w:highlight w:val="none"/>
              </w:rPr>
              <w:t xml:space="preserve">详见本章“关于中标后项目进行分包的情况”</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空调系统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）空调通风系统运行管理符合《空调通风系统运行管理标准》（</w:t>
            </w:r>
            <w:bookmarkStart w:id="205" w:name="OLE_LINK15"/>
            <w:r>
              <w:rPr>
                <w:color w:val="000000" w:themeColor="text1"/>
                <w:highlight w:val="none"/>
              </w:rPr>
            </w:r>
            <w:bookmarkStart w:id="206" w:name="OLE_LINK16"/>
            <w:r>
              <w:rPr>
                <w:rFonts w:eastAsia="Times New Roman"/>
                <w:color w:val="000000" w:themeColor="text1"/>
                <w:sz w:val="18"/>
                <w:highlight w:val="none"/>
              </w:rPr>
              <w:t xml:space="preserve">GB50365</w:t>
            </w:r>
            <w:bookmarkEnd w:id="205"/>
            <w:r>
              <w:rPr>
                <w:color w:val="000000" w:themeColor="text1"/>
                <w:highlight w:val="none"/>
              </w:rPr>
            </w:r>
            <w:bookmarkEnd w:id="206"/>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）办公楼内温湿度、空气质量等符合《室内空气质量标准》（</w:t>
            </w:r>
            <w:bookmarkStart w:id="207" w:name="OLE_LINK17"/>
            <w:r>
              <w:rPr>
                <w:color w:val="000000" w:themeColor="text1"/>
                <w:highlight w:val="none"/>
              </w:rPr>
            </w:r>
            <w:bookmarkStart w:id="208" w:name="OLE_LINK18"/>
            <w:r>
              <w:rPr>
                <w:rFonts w:eastAsia="Times New Roman"/>
                <w:color w:val="000000" w:themeColor="text1"/>
                <w:sz w:val="18"/>
                <w:highlight w:val="none"/>
              </w:rPr>
              <w:t xml:space="preserve">GB/T18883</w:t>
            </w:r>
            <w:bookmarkEnd w:id="207"/>
            <w:r>
              <w:rPr>
                <w:color w:val="000000" w:themeColor="text1"/>
                <w:highlight w:val="none"/>
              </w:rPr>
            </w:r>
            <w:bookmarkEnd w:id="208"/>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）定期维保并做好记录，保证空调设施设备处于良好状态。</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）运行期间每日至少开展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次运行情况巡查。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）每年至少开展 </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次滤网等清洗消毒；每 </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年至少开展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次风管清洗消毒。</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）每年至少开展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次分体式空调主机（含空调过滤网）和室外机清洁。每月至少开展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次挂机和室外支架稳固性巡查。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）制冷、供暖系统温度设定及启用时间符合节能要求。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）发现故障或损坏应当在 </w:t>
            </w:r>
            <w:r>
              <w:rPr>
                <w:rFonts w:eastAsia="Times New Roman"/>
                <w:color w:val="000000" w:themeColor="text1"/>
                <w:sz w:val="18"/>
                <w:highlight w:val="none"/>
              </w:rPr>
              <w:t xml:space="preserve">30</w:t>
            </w:r>
            <w:r>
              <w:rPr>
                <w:rFonts w:ascii="宋体" w:hAnsi="宋体" w:cs="宋体"/>
                <w:color w:val="000000" w:themeColor="text1"/>
                <w:sz w:val="18"/>
                <w:highlight w:val="none"/>
              </w:rPr>
              <w:t xml:space="preserve">分钟内到场，紧急维修应当在 </w:t>
            </w:r>
            <w:r>
              <w:rPr>
                <w:rFonts w:eastAsia="Times New Roman"/>
                <w:color w:val="000000" w:themeColor="text1"/>
                <w:sz w:val="18"/>
                <w:highlight w:val="none"/>
              </w:rPr>
              <w:t xml:space="preserve">15</w:t>
            </w:r>
            <w:r>
              <w:rPr>
                <w:rFonts w:ascii="宋体" w:hAnsi="宋体" w:cs="宋体"/>
                <w:color w:val="000000" w:themeColor="text1"/>
                <w:sz w:val="18"/>
                <w:highlight w:val="none"/>
              </w:rPr>
              <w:t xml:space="preserve">分钟内到达现场，在 </w:t>
            </w:r>
            <w:r>
              <w:rPr>
                <w:rFonts w:eastAsia="Times New Roman"/>
                <w:color w:val="000000" w:themeColor="text1"/>
                <w:sz w:val="18"/>
                <w:highlight w:val="none"/>
              </w:rPr>
              <w:t xml:space="preserve">12</w:t>
            </w:r>
            <w:r>
              <w:rPr>
                <w:rFonts w:ascii="宋体" w:hAnsi="宋体" w:cs="宋体"/>
                <w:color w:val="000000" w:themeColor="text1"/>
                <w:sz w:val="18"/>
                <w:highlight w:val="none"/>
              </w:rPr>
              <w:t xml:space="preserve">小时内维修完毕。</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6</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消防系统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）消防设施的维护管理符合《建筑消防设施的维护管理》（</w:t>
            </w:r>
            <w:bookmarkStart w:id="209" w:name="OLE_LINK19"/>
            <w:r>
              <w:rPr>
                <w:rFonts w:eastAsia="Times New Roman"/>
                <w:color w:val="000000" w:themeColor="text1"/>
                <w:sz w:val="18"/>
                <w:highlight w:val="none"/>
              </w:rPr>
              <w:t xml:space="preserve">GB25201</w:t>
            </w:r>
            <w:bookmarkEnd w:id="209"/>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）消防设备检测符合《建筑消防设施检测技术规程》（</w:t>
            </w:r>
            <w:bookmarkStart w:id="210" w:name="OLE_LINK21"/>
            <w:r>
              <w:rPr>
                <w:color w:val="000000" w:themeColor="text1"/>
                <w:highlight w:val="none"/>
              </w:rPr>
            </w:r>
            <w:bookmarkStart w:id="211" w:name="OLE_LINK20"/>
            <w:r>
              <w:rPr>
                <w:rFonts w:eastAsia="Times New Roman"/>
                <w:color w:val="000000" w:themeColor="text1"/>
                <w:sz w:val="18"/>
                <w:highlight w:val="none"/>
              </w:rPr>
              <w:t xml:space="preserve">GA503</w:t>
            </w:r>
            <w:bookmarkEnd w:id="210"/>
            <w:r>
              <w:rPr>
                <w:color w:val="000000" w:themeColor="text1"/>
                <w:highlight w:val="none"/>
              </w:rPr>
            </w:r>
            <w:bookmarkEnd w:id="211"/>
            <w:r>
              <w:rPr>
                <w:rFonts w:eastAsia="Times New Roman"/>
                <w:color w:val="000000" w:themeColor="text1"/>
                <w:sz w:val="18"/>
                <w:highlight w:val="none"/>
              </w:rPr>
              <w:t xml:space="preserve"> </w:t>
            </w:r>
            <w:r>
              <w:rPr>
                <w:rFonts w:ascii="宋体" w:hAnsi="宋体" w:cs="宋体"/>
                <w:color w:val="000000" w:themeColor="text1"/>
                <w:sz w:val="18"/>
                <w:highlight w:val="none"/>
              </w:rPr>
              <w:t xml:space="preserve">或 </w:t>
            </w:r>
            <w:bookmarkStart w:id="212" w:name="OLE_LINK23"/>
            <w:r>
              <w:rPr>
                <w:color w:val="000000" w:themeColor="text1"/>
                <w:highlight w:val="none"/>
              </w:rPr>
            </w:r>
            <w:bookmarkStart w:id="213" w:name="OLE_LINK22"/>
            <w:r>
              <w:rPr>
                <w:rFonts w:eastAsia="Times New Roman"/>
                <w:color w:val="000000" w:themeColor="text1"/>
                <w:sz w:val="18"/>
                <w:highlight w:val="none"/>
              </w:rPr>
              <w:t xml:space="preserve">XF503</w:t>
            </w:r>
            <w:bookmarkEnd w:id="212"/>
            <w:r>
              <w:rPr>
                <w:color w:val="000000" w:themeColor="text1"/>
                <w:highlight w:val="none"/>
              </w:rPr>
            </w:r>
            <w:bookmarkEnd w:id="213"/>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）消防设施平面图、火警疏散示意图、防火分区图等按幢设置在楼层醒目位置。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）消防系统各设施设备使用说明清晰，宜图文结合。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）联动灭火系统启动正常。</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）消火栓箱、防火门、灭火器、消防水泵、红外线报警器、应急照明、安全疏散等系统运行正常。</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）消防监控系统运行良好，手动报警设施启动正常。</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7</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供配电系统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 </w:t>
            </w:r>
            <w:r>
              <w:rPr>
                <w:rFonts w:eastAsia="Times New Roman"/>
                <w:color w:val="000000" w:themeColor="text1"/>
                <w:sz w:val="18"/>
                <w:highlight w:val="none"/>
              </w:rPr>
              <w:t xml:space="preserve">24</w:t>
            </w:r>
            <w:r>
              <w:rPr>
                <w:rFonts w:ascii="宋体" w:hAnsi="宋体" w:cs="宋体"/>
                <w:color w:val="000000" w:themeColor="text1"/>
                <w:sz w:val="18"/>
                <w:highlight w:val="none"/>
              </w:rPr>
              <w:t xml:space="preserve">小时运行值班监控制度。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）每日对供电范围内的电气设备巡视维护，加强高低压配电柜、配电箱、控制柜及线路等重点部位监测。</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）公共使用的照明、指示灯具线路、开关、接地等保持完好，确保用电安全。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）核心部位用电建立高可控用电保障和配备应急发电设备，定期维护应急发电设备。</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）发生非计划性停电的，应当在事件发生后及时通知采购人，快速恢复或启用应急电源，并做好应急事件上报及处理工作。</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）复杂故障涉及供电部门维修处置的及时与供电部门联系，并向采购人报告。</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）高低压设备每小时巡视不少于</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次，做好相关记录。</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8</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弱电系统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）安全防范系统维护保养符合《安全防范系统维护保养规范》（</w:t>
            </w:r>
            <w:bookmarkStart w:id="214" w:name="OLE_LINK24"/>
            <w:r>
              <w:rPr>
                <w:color w:val="000000" w:themeColor="text1"/>
                <w:highlight w:val="none"/>
              </w:rPr>
            </w:r>
            <w:bookmarkStart w:id="215" w:name="OLE_LINK25"/>
            <w:r>
              <w:rPr>
                <w:rFonts w:eastAsia="Times New Roman"/>
                <w:color w:val="000000" w:themeColor="text1"/>
                <w:sz w:val="18"/>
                <w:highlight w:val="none"/>
              </w:rPr>
              <w:t xml:space="preserve">GA/T 1081</w:t>
            </w:r>
            <w:bookmarkEnd w:id="214"/>
            <w:r>
              <w:rPr>
                <w:color w:val="000000" w:themeColor="text1"/>
                <w:highlight w:val="none"/>
              </w:rPr>
            </w:r>
            <w:bookmarkEnd w:id="215"/>
            <w:r>
              <w:rPr>
                <w:rFonts w:ascii="宋体" w:hAnsi="宋体" w:cs="宋体"/>
                <w:color w:val="000000" w:themeColor="text1"/>
                <w:sz w:val="18"/>
                <w:highlight w:val="none"/>
              </w:rPr>
              <w:t xml:space="preserve">）的相关要求。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）保持监控系统、门禁系统、安全防范系统等运行正常，有故障及时排除。</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18"/>
                <w:highlight w:val="none"/>
              </w:rPr>
              <w:t xml:space="preserve">9</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照明系统</w:t>
            </w:r>
            <w:r>
              <w:rPr>
                <w:color w:val="000000" w:themeColor="text1"/>
                <w:highlight w:val="none"/>
              </w:rPr>
            </w:r>
          </w:p>
        </w:tc>
        <w:tc>
          <w:tcPr>
            <w:tcMar>
              <w:left w:w="108" w:type="dxa"/>
              <w:top w:w="0" w:type="dxa"/>
              <w:right w:w="108" w:type="dxa"/>
              <w:bottom w:w="0" w:type="dxa"/>
            </w:tcMar>
            <w:tcW w:w="5015"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）外观整洁无缺损、无松落。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）更换的照明灯具应当选用节能环保产品，亮度与更换前保持一致。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）每周至少开展</w:t>
            </w:r>
            <w:r>
              <w:rPr>
                <w:rFonts w:ascii="Calibri" w:hAnsi="Calibri" w:eastAsia="Calibri" w:cs="Calibri"/>
                <w:color w:val="000000" w:themeColor="text1"/>
                <w:sz w:val="18"/>
                <w:highlight w:val="none"/>
              </w:rPr>
              <w:t xml:space="preserve">1</w:t>
            </w:r>
            <w:r>
              <w:rPr>
                <w:rFonts w:ascii="宋体" w:hAnsi="宋体" w:cs="宋体"/>
                <w:color w:val="000000" w:themeColor="text1"/>
                <w:sz w:val="18"/>
                <w:highlight w:val="none"/>
              </w:rPr>
              <w:t xml:space="preserve">次公共区域照明设备巡视。</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3.4  保洁服务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104"/>
      </w:tblGrid>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10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基本要求</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）建立保洁服务的工作制度及工作计划，并按照执行。</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）做好保洁服务工作记录，记录填写规范、保存完好。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）作业时采取安全防护措施，防止对作业人员或他人造成伤害。相关耗材的环保、安全性等应当符合国家相关规定要求。</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办公用房区域保洁</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）大厅、楼内公共通道：</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①公共通道保持干净，无异味、无杂物、无积水，每日至少开展</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②门窗玻璃干净无尘，透光性好，每月至少开展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③指示牌干净，无污渍，每日至少开展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）电器、消防等设施设备：</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①配电箱、设备机房、会议室音视频设备、消防栓及开关插座等保持表面干净，无尘无污迹，每月至少开展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②监控摄像头、门禁系统等表面光亮，无尘、无斑点，每月至少开展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）楼梯及楼梯间保持干净、无异味、无杂物、无积水，每日至少开展 </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）开水间保持干净、无异味、无杂物、无积水，每小时至少开展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）作业工具间：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①保持干净，无异味、无杂物、无积水，每日至少开展 </w:t>
            </w:r>
            <w:r>
              <w:rPr>
                <w:rFonts w:eastAsia="Times New Roman"/>
                <w:color w:val="000000" w:themeColor="text1"/>
                <w:sz w:val="18"/>
                <w:highlight w:val="none"/>
              </w:rPr>
              <w:t xml:space="preserve">1 </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②作业工具摆放整齐有序，表面干净无渍，每日消毒。</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）公共卫生间：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①保持干净，无异味，垃圾无溢出，每小时至少开展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②及时补充卫生间所需的必要用品。</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）电梯轿厢：</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①保持干净，无污渍、无粘贴物、无异味，每天至少开展</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②灯具、操作指示板明亮。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）平台、屋顶、天沟保持干净，有杂物及时清扫，每月至少开展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9</w:t>
            </w:r>
            <w:r>
              <w:rPr>
                <w:rFonts w:ascii="宋体" w:hAnsi="宋体" w:cs="宋体"/>
                <w:color w:val="000000" w:themeColor="text1"/>
                <w:sz w:val="18"/>
                <w:highlight w:val="none"/>
              </w:rPr>
              <w:t xml:space="preserve">）石材地面、内墙做好养护工作，每季度开展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次清洁作业。（各类材质地面、内墙服务管理标准详见 </w:t>
            </w:r>
            <w:r>
              <w:rPr>
                <w:rFonts w:eastAsia="Times New Roman"/>
                <w:color w:val="000000" w:themeColor="text1"/>
                <w:sz w:val="18"/>
                <w:highlight w:val="none"/>
              </w:rPr>
              <w:t xml:space="preserve">3.4.1</w:t>
            </w:r>
            <w:r>
              <w:rPr>
                <w:rFonts w:ascii="宋体" w:hAnsi="宋体" w:cs="宋体"/>
                <w:color w:val="000000" w:themeColor="text1"/>
                <w:sz w:val="18"/>
                <w:highlight w:val="none"/>
              </w:rPr>
              <w:t xml:space="preserve">）</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10</w:t>
            </w:r>
            <w:r>
              <w:rPr>
                <w:rFonts w:ascii="宋体" w:hAnsi="宋体" w:cs="宋体"/>
                <w:color w:val="000000" w:themeColor="text1"/>
                <w:sz w:val="18"/>
                <w:highlight w:val="none"/>
              </w:rPr>
              <w:t xml:space="preserve">）地毯干净、无油渍、无污渍、无褪色，每月至少开展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公共场地区域保洁</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）每日清扫道路地面、停车场等公共区域</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次，保持干净、无杂物、无积水。</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）雪、冰冻等恶劣天气时及时清扫积水、积雪，并采取安全防护措施。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）各种路标、宣传栏等保持干净，每月至少开展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）清洁室外照明设备，每月至少开展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）绿地内无杂物、无改变用途和破坏、践踏、占用现象，每天至少开展</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次巡查。</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垃圾处理</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）在指定位置摆放分类垃圾桶，并在显著处张贴垃圾分类标识。分类垃圾桶和垃圾分类标识根据无锡市垃圾分类相关要求设置。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）桶身表面干净无污渍，每日开展至少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）垃圾中转房保持整洁，无明显异味，每日至少开展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）化粪池清掏，无明显异味，每半年至少开展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次清洁作业。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）每个工作日内要对楼层产生的垃圾，进行清理分类，并运至垃圾集中堆放点。</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）垃圾装袋， 日产日清。</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）建立垃圾清运台账，交由规范的渠道回收处理。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）做好垃圾分类管理的宣传工作，督促并引导全员参与垃圾分类投放。</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9</w:t>
            </w:r>
            <w:r>
              <w:rPr>
                <w:rFonts w:ascii="宋体" w:hAnsi="宋体" w:cs="宋体"/>
                <w:color w:val="000000" w:themeColor="text1"/>
                <w:sz w:val="18"/>
                <w:highlight w:val="none"/>
              </w:rPr>
              <w:t xml:space="preserve">）垃圾分类投放管理工作的执行标准，按无锡市垃圾分类的相关要求执行。</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卫生消毒</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）办公用房区域、公共场所区域和周围环境预防性卫生消毒，消毒后及时通风，每周至少开展 </w:t>
            </w:r>
            <w:r>
              <w:rPr>
                <w:rFonts w:eastAsia="Times New Roman"/>
                <w:color w:val="000000" w:themeColor="text1"/>
                <w:sz w:val="18"/>
                <w:highlight w:val="none"/>
              </w:rPr>
              <w:t xml:space="preserve">1 </w:t>
            </w:r>
            <w:r>
              <w:rPr>
                <w:rFonts w:ascii="宋体" w:hAnsi="宋体" w:cs="宋体"/>
                <w:color w:val="000000" w:themeColor="text1"/>
                <w:sz w:val="18"/>
                <w:highlight w:val="none"/>
              </w:rPr>
              <w:t xml:space="preserve">次作业。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）采取综合措施消灭老鼠、蟑螂，控制室内外蚊虫滋生，达到基本无蝇，每季度至少开展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次作业。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）发生公共卫生事件时，邀请专业单位开展消毒、检测等工作。</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院内清洁</w:t>
            </w:r>
            <w:r>
              <w:rPr>
                <w:color w:val="000000" w:themeColor="text1"/>
                <w:highlight w:val="none"/>
              </w:rPr>
            </w:r>
          </w:p>
        </w:tc>
        <w:tc>
          <w:tcPr>
            <w:tcMar>
              <w:left w:w="108" w:type="dxa"/>
              <w:top w:w="0" w:type="dxa"/>
              <w:right w:w="108" w:type="dxa"/>
              <w:bottom w:w="0" w:type="dxa"/>
            </w:tcMar>
            <w:tcW w:w="5104"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楼外庭院、大门口和车库等公共区域要保持干净整洁，物品和车辆停放管理要规整有序。</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7</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垃圾废弃物</w:t>
            </w:r>
            <w:r>
              <w:rPr>
                <w:color w:val="000000" w:themeColor="text1"/>
                <w:highlight w:val="none"/>
              </w:rPr>
            </w:r>
          </w:p>
        </w:tc>
        <w:tc>
          <w:tcPr>
            <w:tcMar>
              <w:left w:w="108" w:type="dxa"/>
              <w:top w:w="0" w:type="dxa"/>
              <w:right w:w="108" w:type="dxa"/>
              <w:bottom w:w="0" w:type="dxa"/>
            </w:tcMar>
            <w:tcW w:w="5104"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做到按规定堆放，定时清理外运；保持常年干净、清洁、无积水、无异味。</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8</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白蚁防治</w:t>
            </w:r>
            <w:r>
              <w:rPr>
                <w:color w:val="000000" w:themeColor="text1"/>
                <w:highlight w:val="none"/>
              </w:rPr>
            </w:r>
          </w:p>
        </w:tc>
        <w:tc>
          <w:tcPr>
            <w:tcMar>
              <w:left w:w="108" w:type="dxa"/>
              <w:top w:w="0" w:type="dxa"/>
              <w:right w:w="108" w:type="dxa"/>
              <w:bottom w:w="0" w:type="dxa"/>
            </w:tcMar>
            <w:tcW w:w="5104"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做好白蚁防治工作</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3.4.1  具体清洁要求</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材质</w:t>
            </w:r>
            <w:r>
              <w:rPr>
                <w:color w:val="000000" w:themeColor="text1"/>
                <w:highlight w:val="none"/>
              </w:rPr>
            </w:r>
          </w:p>
        </w:tc>
        <w:tc>
          <w:tcPr>
            <w:tcMar>
              <w:left w:w="108" w:type="dxa"/>
              <w:top w:w="0" w:type="dxa"/>
              <w:right w:w="108" w:type="dxa"/>
              <w:bottom w:w="0" w:type="dxa"/>
            </w:tcMar>
            <w:tcW w:w="5030"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耐磨漆地面</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（1）日常清洁：使用软质拖把或地板清洁机器，配合清水和中性清洁剂进行清洁。避免使用酸性或碱性清洁剂，以免损坏地面表面。定期清理地面上的污渍和杂物，保持地面干净整洁。</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瓷砖地面</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（1）日常清洁：推尘，保持地面干净无杂物。</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（2）深度清洁：使用洗洁精或肥皂水清理。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石材地面</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（1）日常清洁：推尘，保持地面干净无杂物。</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水磨石地面</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（1）日常清洁：推尘，保持地面干净无杂物。</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（2）深度清洁：使用洗洁精或肥皂水清理。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地板地面</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（1）日常用吸尘机除尘，局部脏污用湿布配中性清洁液重点清洁。</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乳胶漆内墙</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（1）有污渍时用半干布擦拭。</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3.5  绿化服务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30"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基本要求</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）制定绿化服务的工作制度及工作计划，并按照执行。</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）做好绿化服务工作记录，填写规范。</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）作业时采取安全防护措施，防止对作业人员或他人造成伤害。</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）相关耗材的环保、安全性应当符合规定要求。</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）公共空间绿化布置和养护。</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）重大活动、国定假期（元旦、春节、国庆）的绿植布置。</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室外绿化养护</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）根据生长环境、植物特性进行除草、灌溉、施肥、整形修剪、防治病虫害等。</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）根据生长情况修剪绿地，绿地内无枯草、无杂物，无干枯坏死和病虫侵害，基本无裸露土地。</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）定期修剪树木、花卉等，灌乔木生长正常、造型美观自然、花枝新鲜，无枯叶、无病虫、无死树缺株。</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）绿篱生长造型正常，颜色正常，修剪及时，基本无死株和干死株，有虫株率在 </w:t>
            </w:r>
            <w:r>
              <w:rPr>
                <w:rFonts w:eastAsia="Times New Roman"/>
                <w:color w:val="000000" w:themeColor="text1"/>
                <w:sz w:val="18"/>
                <w:highlight w:val="none"/>
              </w:rPr>
              <w:t xml:space="preserve">10%</w:t>
            </w:r>
            <w:r>
              <w:rPr>
                <w:rFonts w:ascii="宋体" w:hAnsi="宋体" w:cs="宋体"/>
                <w:color w:val="000000" w:themeColor="text1"/>
                <w:sz w:val="18"/>
                <w:highlight w:val="none"/>
              </w:rPr>
              <w:t xml:space="preserve">以下。</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）清除花坛和花景的花蒂、黄叶、杂草、垃圾，做好病虫害防治。</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）水池水面定期清理，无枯枝落叶、水质清洁。</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）根据病虫害发生规律实施综合治理，通常在病虫率高时，以药剂杀死病虫，以确保植物良好生长。产生垃圾的主要区域和路段做到日产日清。</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）雨雪、冰冻等恶劣天气来临前，专人巡查，对绿植做好预防措施，排除安全隐患。</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9</w:t>
            </w:r>
            <w:r>
              <w:rPr>
                <w:rFonts w:ascii="宋体" w:hAnsi="宋体" w:cs="宋体"/>
                <w:color w:val="000000" w:themeColor="text1"/>
                <w:sz w:val="18"/>
                <w:highlight w:val="none"/>
              </w:rPr>
              <w:t xml:space="preserve">）恶劣天气后，及时清除倒树断枝，疏通道路，尽快恢复原状。</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3.6  保安服务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30"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基本要求</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）建立保安服务相关制度，并按照执行。</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）对巡查、值守及异常情况等做好相关记录，填写规范，保存完好。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）配备保安服务必要的器材。</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）值岗期间与来访人员交谈时，应使用文明、规范用语，不得使用“命令”“要求”类用语及禁忌语，不得发生争吵。</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）举办活动、楼内装修、布局调整等，保安要协助做好搬运和安全警戒等工作；若有临时性、突发性任务安排，须配合完成。</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出入管理</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）办公楼（区）主出入口实行 </w:t>
            </w:r>
            <w:r>
              <w:rPr>
                <w:rFonts w:eastAsia="Times New Roman"/>
                <w:color w:val="000000" w:themeColor="text1"/>
                <w:sz w:val="18"/>
                <w:highlight w:val="none"/>
              </w:rPr>
              <w:t xml:space="preserve">24 </w:t>
            </w:r>
            <w:r>
              <w:rPr>
                <w:rFonts w:ascii="宋体" w:hAnsi="宋体" w:cs="宋体"/>
                <w:color w:val="000000" w:themeColor="text1"/>
                <w:sz w:val="18"/>
                <w:highlight w:val="none"/>
              </w:rPr>
              <w:t xml:space="preserve">小时值班制。</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）设置门岗。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）在出入口对外来人员及其携带大件物品、外来车辆进行询问和记录，并与相关单位部门取得联系， 同意后方可进入。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）大件物品搬出有相关单位部门开具的证明和清单，经核实后放行。</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）排查可疑人员，对于不出示证件、不按规定登记、不听劝阻而强行闯入者，及时劝离，必要时 通知公安机关进行处理。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）配合相关单位部门积极疏导上访人员，有效疏导出入口人群集聚、车辆拥堵、货物堵塞道路等情况。</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）根据物业服务合同约定，对物品进出实行安检、登记、电话确认等分类管理措施。大宗物品进 出会同接收单位收件人审检，严防违禁品（包括毒品、军火弹药、管制刀具、易燃易爆品等）、限带品（包括动物、任何未经授权的专业摄影设备、无人机等）进入。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8</w:t>
            </w:r>
            <w:r>
              <w:rPr>
                <w:rFonts w:ascii="宋体" w:hAnsi="宋体" w:cs="宋体"/>
                <w:color w:val="000000" w:themeColor="text1"/>
                <w:sz w:val="18"/>
                <w:highlight w:val="none"/>
              </w:rPr>
              <w:t xml:space="preserve">）提供现场接待服务。</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①做好来访人员、车辆进出证件登记，及时通报。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②严禁无关人员、可疑人员和危险物品进入办公楼（区）内。</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③物品摆放整齐有序、分类放置。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④现场办理等待时间不超过 </w:t>
            </w:r>
            <w:r>
              <w:rPr>
                <w:rFonts w:eastAsia="Times New Roman"/>
                <w:color w:val="000000" w:themeColor="text1"/>
                <w:sz w:val="18"/>
                <w:highlight w:val="none"/>
              </w:rPr>
              <w:t xml:space="preserve">5 </w:t>
            </w:r>
            <w:r>
              <w:rPr>
                <w:rFonts w:ascii="宋体" w:hAnsi="宋体" w:cs="宋体"/>
                <w:color w:val="000000" w:themeColor="text1"/>
                <w:sz w:val="18"/>
                <w:highlight w:val="none"/>
              </w:rPr>
              <w:t xml:space="preserve">分钟，等待较长时间应当及时沟通。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⑤对来访人员咨询、建议、求助等事项，及时处理或答复，处理和答复率 </w:t>
            </w:r>
            <w:r>
              <w:rPr>
                <w:rFonts w:eastAsia="Times New Roman"/>
                <w:color w:val="000000" w:themeColor="text1"/>
                <w:sz w:val="18"/>
                <w:highlight w:val="none"/>
              </w:rPr>
              <w:t xml:space="preserve">100%</w:t>
            </w:r>
            <w:r>
              <w:rPr>
                <w:rFonts w:ascii="宋体" w:hAnsi="宋体" w:cs="宋体"/>
                <w:color w:val="000000" w:themeColor="text1"/>
                <w:sz w:val="18"/>
                <w:highlight w:val="none"/>
              </w:rPr>
              <w:t xml:space="preserve">。</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⑥与被访人进行核实确认；告知被访人的办公室门牌号；告知访客注意事项（根据实际需要填写注意事项）。</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9</w:t>
            </w:r>
            <w:r>
              <w:rPr>
                <w:rFonts w:ascii="宋体" w:hAnsi="宋体" w:cs="宋体"/>
                <w:color w:val="000000" w:themeColor="text1"/>
                <w:sz w:val="18"/>
                <w:highlight w:val="none"/>
              </w:rPr>
              <w:t xml:space="preserve">）根据安防要求使用安检设备对来访人员及其随身物品进行安检。 </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值班巡查</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 </w:t>
            </w:r>
            <w:r>
              <w:rPr>
                <w:rFonts w:eastAsia="Times New Roman"/>
                <w:color w:val="000000" w:themeColor="text1"/>
                <w:sz w:val="18"/>
                <w:highlight w:val="none"/>
              </w:rPr>
              <w:t xml:space="preserve">24 </w:t>
            </w:r>
            <w:r>
              <w:rPr>
                <w:rFonts w:ascii="宋体" w:hAnsi="宋体" w:cs="宋体"/>
                <w:color w:val="000000" w:themeColor="text1"/>
                <w:sz w:val="18"/>
                <w:highlight w:val="none"/>
              </w:rPr>
              <w:t xml:space="preserve">小时值班巡查制度。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）制定巡查路线，按照指定时间和路线执行，加强重点区域、重点部位及装修区域的巡查。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）巡查期间保持通信设施设备畅通，遇到异常情况立即上报并在现场采取相应措施。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）收到监控室指令后，巡查人员及时到达指定地点并迅速采取相应措施。</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）白天巡查不间断，夜间巡查</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小时一次，做好巡查记录。 </w:t>
            </w:r>
            <w:r>
              <w:rPr>
                <w:rFonts w:eastAsia="Times New Roman"/>
                <w:color w:val="000000" w:themeColor="text1"/>
                <w:sz w:val="18"/>
                <w:highlight w:val="none"/>
              </w:rPr>
              <w:t xml:space="preserve"> </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监控值守</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）监控室环境符合系统设备运行要求，定期进行检查和检测，确保系统功能正常。</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）监控设备 </w:t>
            </w:r>
            <w:r>
              <w:rPr>
                <w:rFonts w:eastAsia="Times New Roman"/>
                <w:color w:val="000000" w:themeColor="text1"/>
                <w:sz w:val="18"/>
                <w:highlight w:val="none"/>
              </w:rPr>
              <w:t xml:space="preserve">24</w:t>
            </w:r>
            <w:r>
              <w:rPr>
                <w:rFonts w:ascii="宋体" w:hAnsi="宋体" w:cs="宋体"/>
                <w:color w:val="000000" w:themeColor="text1"/>
                <w:sz w:val="18"/>
                <w:highlight w:val="none"/>
              </w:rPr>
              <w:t xml:space="preserve">小时正常运行，监控室实行专人 </w:t>
            </w:r>
            <w:r>
              <w:rPr>
                <w:rFonts w:eastAsia="Times New Roman"/>
                <w:color w:val="000000" w:themeColor="text1"/>
                <w:sz w:val="18"/>
                <w:highlight w:val="none"/>
              </w:rPr>
              <w:t xml:space="preserve">24</w:t>
            </w:r>
            <w:r>
              <w:rPr>
                <w:rFonts w:ascii="宋体" w:hAnsi="宋体" w:cs="宋体"/>
                <w:color w:val="000000" w:themeColor="text1"/>
                <w:sz w:val="18"/>
                <w:highlight w:val="none"/>
              </w:rPr>
              <w:t xml:space="preserve">小时值班制度。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）监控记录画面清晰，视频监控无死角、无盲区。</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）值班期间遵守操作规程和保密制度，做好监控记录的保存工作。</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）监控记录保持完整，保存时间不应少于 </w:t>
            </w:r>
            <w:r>
              <w:rPr>
                <w:rFonts w:eastAsia="Times New Roman"/>
                <w:color w:val="000000" w:themeColor="text1"/>
                <w:sz w:val="18"/>
                <w:highlight w:val="none"/>
              </w:rPr>
              <w:t xml:space="preserve">90 </w:t>
            </w:r>
            <w:r>
              <w:rPr>
                <w:rFonts w:ascii="宋体" w:hAnsi="宋体" w:cs="宋体"/>
                <w:color w:val="000000" w:themeColor="text1"/>
                <w:sz w:val="18"/>
                <w:highlight w:val="none"/>
              </w:rPr>
              <w:t xml:space="preserve">天。</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）无关人员进入监控室或查阅监控记录，经授权人批准并做好相关记录。</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）监控室收到火情等报警信号、其他异常情况信号后，及时报警并安排其他安保人员前往现场进行处理。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车辆停放</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）车辆行驶路线设置合理、规范，导向标志完整、清晰。</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）合理规划车辆停放区域，张贴车辆引导标识，对车辆及停放区域实行规范管理。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）严禁在大楼公用走道、楼梯间、安全出口处等公共区域停放车辆或充电。</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）非机动车定点有序停放。</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）发现车辆异常情况及时通知车主，并做好登记；发生交通事故、自然灾害等意外事故时及时赶赴现场疏导和协助处理，响应时间不超过 </w:t>
            </w:r>
            <w:r>
              <w:rPr>
                <w:rFonts w:eastAsia="Times New Roman"/>
                <w:color w:val="000000" w:themeColor="text1"/>
                <w:sz w:val="18"/>
                <w:highlight w:val="none"/>
              </w:rPr>
              <w:t xml:space="preserve">3 </w:t>
            </w:r>
            <w:r>
              <w:rPr>
                <w:rFonts w:ascii="宋体" w:hAnsi="宋体" w:cs="宋体"/>
                <w:color w:val="000000" w:themeColor="text1"/>
                <w:sz w:val="18"/>
                <w:highlight w:val="none"/>
              </w:rPr>
              <w:t xml:space="preserve">分钟。</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消防安全管理</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）建立消防安全责任制，确定各级消防安全责任人及其职责。</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）消防控制室实行 </w:t>
            </w:r>
            <w:r>
              <w:rPr>
                <w:rFonts w:eastAsia="Times New Roman"/>
                <w:color w:val="000000" w:themeColor="text1"/>
                <w:sz w:val="18"/>
                <w:highlight w:val="none"/>
              </w:rPr>
              <w:t xml:space="preserve">24</w:t>
            </w:r>
            <w:r>
              <w:rPr>
                <w:rFonts w:ascii="宋体" w:hAnsi="宋体" w:cs="宋体"/>
                <w:color w:val="000000" w:themeColor="text1"/>
                <w:sz w:val="18"/>
                <w:highlight w:val="none"/>
              </w:rPr>
              <w:t xml:space="preserve">小时值班制度，每班不少于 </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人。</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）消火栓、应急照明、应急物资、消防及人员逃生通道、消防车通道可随时正常使用。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）易燃易爆品设专区专人管理，做好相关记录。</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）定期组织消防安全宣传，每半年至少开展 </w:t>
            </w:r>
            <w:r>
              <w:rPr>
                <w:rFonts w:eastAsia="Times New Roman"/>
                <w:color w:val="000000" w:themeColor="text1"/>
                <w:sz w:val="18"/>
                <w:highlight w:val="none"/>
              </w:rPr>
              <w:t xml:space="preserve">1 </w:t>
            </w:r>
            <w:r>
              <w:rPr>
                <w:rFonts w:ascii="宋体" w:hAnsi="宋体" w:cs="宋体"/>
                <w:color w:val="000000" w:themeColor="text1"/>
                <w:sz w:val="18"/>
                <w:highlight w:val="none"/>
              </w:rPr>
              <w:t xml:space="preserve">次消防演练。</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）值班人员须持证上岗，熟悉消防系统操作程序。</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7</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突发事件处理</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）制定突发事件安全责任书，明确突发事件责任人及应承担的安全责任。</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）建立应急突发事件处置队伍，明确各自的职责。</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）识别、分析各种潜在风险，针对不同风险类型制定相应解决方案，并配备应急物资。</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4</w:t>
            </w:r>
            <w:r>
              <w:rPr>
                <w:rFonts w:ascii="宋体" w:hAnsi="宋体" w:cs="宋体"/>
                <w:color w:val="000000" w:themeColor="text1"/>
                <w:sz w:val="18"/>
                <w:highlight w:val="none"/>
              </w:rPr>
              <w:t xml:space="preserve">）每半年至少开展 </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次突发事件应急演练，并有相应记录。</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5</w:t>
            </w:r>
            <w:r>
              <w:rPr>
                <w:rFonts w:ascii="宋体" w:hAnsi="宋体" w:cs="宋体"/>
                <w:color w:val="000000" w:themeColor="text1"/>
                <w:sz w:val="18"/>
                <w:highlight w:val="none"/>
              </w:rPr>
              <w:t xml:space="preserve">）发生意外事件时，及时采取应急措施，维护办公区域物业服务正常进行，保护人身财产安全。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6</w:t>
            </w:r>
            <w:r>
              <w:rPr>
                <w:rFonts w:ascii="宋体" w:hAnsi="宋体" w:cs="宋体"/>
                <w:color w:val="000000" w:themeColor="text1"/>
                <w:sz w:val="18"/>
                <w:highlight w:val="none"/>
              </w:rPr>
              <w:t xml:space="preserve">）办公区域物业服务应急预案终止实施后，积极采取措施，在尽可能短的时间内，消除事故带来的不良影响，妥善安置和慰问受害及受影响的人员和部门。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7</w:t>
            </w:r>
            <w:r>
              <w:rPr>
                <w:rFonts w:ascii="宋体" w:hAnsi="宋体" w:cs="宋体"/>
                <w:color w:val="000000" w:themeColor="text1"/>
                <w:sz w:val="18"/>
                <w:highlight w:val="none"/>
              </w:rPr>
              <w:t xml:space="preserve">）事故处理后，及时形成事故应急总结报告，完善应急救援工作方案。</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8</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大型活动秩序</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1</w:t>
            </w:r>
            <w:r>
              <w:rPr>
                <w:rFonts w:ascii="宋体" w:hAnsi="宋体" w:cs="宋体"/>
                <w:color w:val="000000" w:themeColor="text1"/>
                <w:sz w:val="18"/>
                <w:highlight w:val="none"/>
              </w:rPr>
              <w:t xml:space="preserve">）制定相应的活动秩序维护方案，合理安排人员，并对场所的安全隐患进行排查。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2</w:t>
            </w:r>
            <w:r>
              <w:rPr>
                <w:rFonts w:ascii="宋体" w:hAnsi="宋体" w:cs="宋体"/>
                <w:color w:val="000000" w:themeColor="text1"/>
                <w:sz w:val="18"/>
                <w:highlight w:val="none"/>
              </w:rPr>
              <w:t xml:space="preserve">）应当保障通道、出入口、停车场等区域畅通。</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w:t>
            </w:r>
            <w:r>
              <w:rPr>
                <w:rFonts w:eastAsia="Times New Roman"/>
                <w:color w:val="000000" w:themeColor="text1"/>
                <w:sz w:val="18"/>
                <w:highlight w:val="none"/>
              </w:rPr>
              <w:t xml:space="preserve">3</w:t>
            </w:r>
            <w:r>
              <w:rPr>
                <w:rFonts w:ascii="宋体" w:hAnsi="宋体" w:cs="宋体"/>
                <w:color w:val="000000" w:themeColor="text1"/>
                <w:sz w:val="18"/>
                <w:highlight w:val="none"/>
              </w:rPr>
              <w:t xml:space="preserve">）活动举办过程中，做好现场秩序的维护和突发事故的处置工作，确保活动正常进行。</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9</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防汛、防台风、防寒等极端天气控制服务</w:t>
            </w:r>
            <w:r>
              <w:rPr>
                <w:color w:val="000000" w:themeColor="text1"/>
                <w:highlight w:val="none"/>
              </w:rPr>
            </w:r>
          </w:p>
        </w:tc>
        <w:tc>
          <w:tcPr>
            <w:tcMar>
              <w:left w:w="108" w:type="dxa"/>
              <w:top w:w="0" w:type="dxa"/>
              <w:right w:w="108" w:type="dxa"/>
              <w:bottom w:w="0" w:type="dxa"/>
            </w:tcMar>
            <w:tcW w:w="5030"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物资与设备管理，做好防汛物资采购、更新和更换工作，如防水沙袋、抽水泵、防水布、应急照明设备、雨衣、雨靴等防汛用品，定期检查物资数量及状态（如抽水泵测试运行）。配备必要的除雪工具，比如雪铲、草包等。建立物资台账，记录检查、更换时间，确保物资有效期管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监测与应急响应管理，实时关注气象预警信息，组建应急抢险突击队，建立巡查机制，做好极端天气预警期间各项安全措施的落实。如巡查排水系统、积水点、附属设施、屋顶积雪、树木倒伏等风险隐患巡查。</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（3）针对性建立健全极端天气应急预案。</w:t>
            </w:r>
            <w:r>
              <w:rPr>
                <w:color w:val="000000" w:themeColor="text1"/>
                <w:highlight w:val="none"/>
              </w:rPr>
            </w:r>
          </w:p>
        </w:tc>
      </w:tr>
    </w:tbl>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3.7  会议服务</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序号</w:t>
            </w:r>
            <w:r>
              <w:rPr>
                <w:color w:val="000000" w:themeColor="text1"/>
                <w:highlight w:val="none"/>
              </w:rPr>
            </w:r>
          </w:p>
        </w:tc>
        <w:tc>
          <w:tcPr>
            <w:tcMar>
              <w:left w:w="108" w:type="dxa"/>
              <w:top w:w="0" w:type="dxa"/>
              <w:right w:w="108" w:type="dxa"/>
              <w:bottom w:w="0" w:type="dxa"/>
            </w:tcMar>
            <w:tcW w:w="263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服务内容</w:t>
            </w:r>
            <w:r>
              <w:rPr>
                <w:color w:val="000000" w:themeColor="text1"/>
                <w:highlight w:val="none"/>
              </w:rPr>
            </w:r>
          </w:p>
        </w:tc>
        <w:tc>
          <w:tcPr>
            <w:tcMar>
              <w:left w:w="108" w:type="dxa"/>
              <w:top w:w="0" w:type="dxa"/>
              <w:right w:w="108" w:type="dxa"/>
              <w:bottom w:w="0" w:type="dxa"/>
            </w:tcMar>
            <w:tcW w:w="5030"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sz w:val="22"/>
                <w:highlight w:val="none"/>
              </w:rPr>
              <w:t xml:space="preserve">服务标准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会前准备</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根据会议需求、场地大小、用途，明确会议桌椅、物品、设备等摆放规定。</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引导服务</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放置引导牌在指定位置，引导人员引导手势规范，语言标准。</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会中服务</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会议期间按要求加水。</w:t>
            </w:r>
            <w:r>
              <w:rPr>
                <w:color w:val="000000" w:themeColor="text1"/>
                <w:highlight w:val="none"/>
              </w:rPr>
            </w:r>
          </w:p>
        </w:tc>
      </w:tr>
      <w:tr>
        <w:trPr/>
        <w:tc>
          <w:tcPr>
            <w:tcMar>
              <w:left w:w="108" w:type="dxa"/>
              <w:top w:w="0" w:type="dxa"/>
              <w:right w:w="108" w:type="dxa"/>
              <w:bottom w:w="0" w:type="dxa"/>
            </w:tcMar>
            <w:tcW w:w="116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w:t>
            </w:r>
            <w:r>
              <w:rPr>
                <w:color w:val="000000" w:themeColor="text1"/>
                <w:highlight w:val="none"/>
              </w:rPr>
            </w:r>
          </w:p>
        </w:tc>
        <w:tc>
          <w:tcPr>
            <w:tcMar>
              <w:left w:w="108" w:type="dxa"/>
              <w:top w:w="0" w:type="dxa"/>
              <w:right w:w="108" w:type="dxa"/>
              <w:bottom w:w="0" w:type="dxa"/>
            </w:tcMar>
            <w:tcW w:w="2636"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会后整理</w:t>
            </w:r>
            <w:r>
              <w:rPr>
                <w:color w:val="000000" w:themeColor="text1"/>
                <w:highlight w:val="none"/>
              </w:rPr>
            </w:r>
          </w:p>
        </w:tc>
        <w:tc>
          <w:tcPr>
            <w:tcMar>
              <w:left w:w="108" w:type="dxa"/>
              <w:top w:w="0" w:type="dxa"/>
              <w:right w:w="108" w:type="dxa"/>
              <w:bottom w:w="0" w:type="dxa"/>
            </w:tcMar>
            <w:tcW w:w="5030"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对会议现场进行检查，做好会场清扫工作。</w:t>
            </w:r>
            <w:r>
              <w:rPr>
                <w:color w:val="000000" w:themeColor="text1"/>
                <w:highlight w:val="none"/>
              </w:rPr>
            </w:r>
          </w:p>
        </w:tc>
      </w:tr>
    </w:tbl>
    <w:p>
      <w:pPr>
        <w:pStyle w:val="861"/>
        <w:ind w:firstLine="562"/>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4.供应商履行合同所需的设备</w:t>
      </w:r>
      <w:r>
        <w:rPr>
          <w:color w:val="000000" w:themeColor="text1"/>
          <w:highlight w:val="none"/>
        </w:rPr>
      </w:r>
    </w:p>
    <w:p>
      <w:pPr>
        <w:pStyle w:val="861"/>
        <w:ind w:firstLine="48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根据项目实际需求，需要供应商提供作业设备（自有或租赁）用于物业管理服务：</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9"/>
        <w:gridCol w:w="2296"/>
        <w:gridCol w:w="3462"/>
        <w:gridCol w:w="894"/>
        <w:gridCol w:w="1286"/>
      </w:tblGrid>
      <w:tr>
        <w:trPr/>
        <w:tc>
          <w:tcPr>
            <w:tcMar>
              <w:left w:w="0" w:type="dxa"/>
              <w:top w:w="0" w:type="dxa"/>
              <w:right w:w="0" w:type="dxa"/>
              <w:bottom w:w="0" w:type="dxa"/>
            </w:tcMar>
            <w:tcW w:w="769"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sz w:val="22"/>
                <w:highlight w:val="none"/>
              </w:rPr>
              <w:t xml:space="preserve">序号</w:t>
            </w:r>
            <w:r>
              <w:rPr>
                <w:color w:val="000000" w:themeColor="text1"/>
                <w:highlight w:val="none"/>
              </w:rPr>
            </w:r>
          </w:p>
        </w:tc>
        <w:tc>
          <w:tcPr>
            <w:tcMar>
              <w:left w:w="0" w:type="dxa"/>
              <w:top w:w="0" w:type="dxa"/>
              <w:right w:w="0" w:type="dxa"/>
              <w:bottom w:w="0" w:type="dxa"/>
            </w:tcMar>
            <w:tcW w:w="229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sz w:val="22"/>
                <w:highlight w:val="none"/>
              </w:rPr>
              <w:t xml:space="preserve">用途</w:t>
            </w:r>
            <w:r>
              <w:rPr>
                <w:color w:val="000000" w:themeColor="text1"/>
                <w:highlight w:val="none"/>
              </w:rPr>
            </w:r>
          </w:p>
        </w:tc>
        <w:tc>
          <w:tcPr>
            <w:tcMar>
              <w:left w:w="0" w:type="dxa"/>
              <w:top w:w="0" w:type="dxa"/>
              <w:right w:w="0" w:type="dxa"/>
              <w:bottom w:w="0" w:type="dxa"/>
            </w:tcMar>
            <w:tcW w:w="3462"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sz w:val="22"/>
                <w:highlight w:val="none"/>
              </w:rPr>
              <w:t xml:space="preserve">作业设备名称</w:t>
            </w:r>
            <w:r>
              <w:rPr>
                <w:color w:val="000000" w:themeColor="text1"/>
                <w:highlight w:val="none"/>
              </w:rPr>
            </w:r>
          </w:p>
        </w:tc>
        <w:tc>
          <w:tcPr>
            <w:tcMar>
              <w:left w:w="0" w:type="dxa"/>
              <w:top w:w="0" w:type="dxa"/>
              <w:right w:w="0" w:type="dxa"/>
              <w:bottom w:w="0" w:type="dxa"/>
            </w:tcMar>
            <w:tcW w:w="89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z w:val="22"/>
                <w:highlight w:val="none"/>
              </w:rPr>
              <w:t xml:space="preserve">数量</w:t>
            </w:r>
            <w:r>
              <w:rPr>
                <w:color w:val="000000" w:themeColor="text1"/>
                <w:highlight w:val="none"/>
              </w:rPr>
            </w:r>
          </w:p>
        </w:tc>
        <w:tc>
          <w:tcPr>
            <w:tcMar>
              <w:left w:w="0" w:type="dxa"/>
              <w:top w:w="0" w:type="dxa"/>
              <w:right w:w="0" w:type="dxa"/>
              <w:bottom w:w="0" w:type="dxa"/>
            </w:tcMar>
            <w:tcW w:w="128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sz w:val="22"/>
                <w:highlight w:val="none"/>
              </w:rPr>
              <w:t xml:space="preserve">单位</w:t>
            </w:r>
            <w:r>
              <w:rPr>
                <w:color w:val="000000" w:themeColor="text1"/>
                <w:highlight w:val="none"/>
              </w:rPr>
            </w:r>
          </w:p>
        </w:tc>
      </w:tr>
      <w:tr>
        <w:trPr/>
        <w:tc>
          <w:tcPr>
            <w:tcMar>
              <w:left w:w="0" w:type="dxa"/>
              <w:top w:w="0" w:type="dxa"/>
              <w:right w:w="0" w:type="dxa"/>
              <w:bottom w:w="0" w:type="dxa"/>
            </w:tcMar>
            <w:tcW w:w="769"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2"/>
                <w:highlight w:val="none"/>
              </w:rPr>
              <w:t xml:space="preserve">1</w:t>
            </w:r>
            <w:r>
              <w:rPr>
                <w:color w:val="000000" w:themeColor="text1"/>
                <w:highlight w:val="none"/>
              </w:rPr>
            </w:r>
          </w:p>
        </w:tc>
        <w:tc>
          <w:tcPr>
            <w:tcMar>
              <w:left w:w="0" w:type="dxa"/>
              <w:top w:w="0" w:type="dxa"/>
              <w:right w:w="0" w:type="dxa"/>
              <w:bottom w:w="0" w:type="dxa"/>
            </w:tcMar>
            <w:tcW w:w="229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2"/>
                <w:sz w:val="22"/>
                <w:highlight w:val="none"/>
              </w:rPr>
              <w:t xml:space="preserve">保安服务</w:t>
            </w:r>
            <w:r>
              <w:rPr>
                <w:color w:val="000000" w:themeColor="text1"/>
                <w:highlight w:val="none"/>
              </w:rPr>
            </w:r>
          </w:p>
        </w:tc>
        <w:tc>
          <w:tcPr>
            <w:tcMar>
              <w:left w:w="0" w:type="dxa"/>
              <w:top w:w="0" w:type="dxa"/>
              <w:right w:w="0" w:type="dxa"/>
              <w:bottom w:w="0" w:type="dxa"/>
            </w:tcMar>
            <w:tcW w:w="346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3"/>
                <w:sz w:val="22"/>
                <w:highlight w:val="none"/>
              </w:rPr>
              <w:t xml:space="preserve">对讲机</w:t>
            </w:r>
            <w:r>
              <w:rPr>
                <w:color w:val="000000" w:themeColor="text1"/>
                <w:highlight w:val="none"/>
              </w:rPr>
            </w:r>
          </w:p>
        </w:tc>
        <w:tc>
          <w:tcPr>
            <w:tcMar>
              <w:left w:w="0" w:type="dxa"/>
              <w:top w:w="0" w:type="dxa"/>
              <w:right w:w="0" w:type="dxa"/>
              <w:bottom w:w="0" w:type="dxa"/>
            </w:tcMar>
            <w:tcW w:w="89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2"/>
                <w:highlight w:val="none"/>
              </w:rPr>
              <w:t xml:space="preserve">8</w:t>
            </w:r>
            <w:r>
              <w:rPr>
                <w:color w:val="000000" w:themeColor="text1"/>
                <w:highlight w:val="none"/>
              </w:rPr>
            </w:r>
          </w:p>
        </w:tc>
        <w:tc>
          <w:tcPr>
            <w:tcMar>
              <w:left w:w="0" w:type="dxa"/>
              <w:top w:w="0" w:type="dxa"/>
              <w:right w:w="0" w:type="dxa"/>
              <w:bottom w:w="0" w:type="dxa"/>
            </w:tcMar>
            <w:tcW w:w="128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台</w:t>
            </w:r>
            <w:r>
              <w:rPr>
                <w:color w:val="000000" w:themeColor="text1"/>
                <w:highlight w:val="none"/>
              </w:rPr>
            </w:r>
          </w:p>
        </w:tc>
      </w:tr>
      <w:tr>
        <w:trPr/>
        <w:tc>
          <w:tcPr>
            <w:tcMar>
              <w:left w:w="0" w:type="dxa"/>
              <w:top w:w="0" w:type="dxa"/>
              <w:right w:w="0" w:type="dxa"/>
              <w:bottom w:w="0" w:type="dxa"/>
            </w:tcMar>
            <w:tcW w:w="769"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2"/>
                <w:highlight w:val="none"/>
              </w:rPr>
              <w:t xml:space="preserve">2</w:t>
            </w:r>
            <w:r>
              <w:rPr>
                <w:color w:val="000000" w:themeColor="text1"/>
                <w:highlight w:val="none"/>
              </w:rPr>
            </w:r>
          </w:p>
        </w:tc>
        <w:tc>
          <w:tcPr>
            <w:tcMar>
              <w:left w:w="0" w:type="dxa"/>
              <w:top w:w="0" w:type="dxa"/>
              <w:right w:w="0" w:type="dxa"/>
              <w:bottom w:w="0" w:type="dxa"/>
            </w:tcMar>
            <w:tcW w:w="229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保安服务</w:t>
            </w:r>
            <w:r>
              <w:rPr>
                <w:color w:val="000000" w:themeColor="text1"/>
                <w:highlight w:val="none"/>
              </w:rPr>
            </w:r>
          </w:p>
        </w:tc>
        <w:tc>
          <w:tcPr>
            <w:tcMar>
              <w:left w:w="0" w:type="dxa"/>
              <w:top w:w="0" w:type="dxa"/>
              <w:right w:w="0" w:type="dxa"/>
              <w:bottom w:w="0" w:type="dxa"/>
            </w:tcMar>
            <w:tcW w:w="3462"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警棍、盾牌、防暴钢叉</w:t>
            </w:r>
            <w:r>
              <w:rPr>
                <w:color w:val="000000" w:themeColor="text1"/>
                <w:highlight w:val="none"/>
              </w:rPr>
            </w:r>
          </w:p>
        </w:tc>
        <w:tc>
          <w:tcPr>
            <w:tcMar>
              <w:left w:w="0" w:type="dxa"/>
              <w:top w:w="0" w:type="dxa"/>
              <w:right w:w="0" w:type="dxa"/>
              <w:bottom w:w="0" w:type="dxa"/>
            </w:tcMar>
            <w:tcW w:w="894"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2"/>
                <w:highlight w:val="none"/>
              </w:rPr>
              <w:t xml:space="preserve">5</w:t>
            </w:r>
            <w:r>
              <w:rPr>
                <w:color w:val="000000" w:themeColor="text1"/>
                <w:highlight w:val="none"/>
              </w:rPr>
            </w:r>
          </w:p>
        </w:tc>
        <w:tc>
          <w:tcPr>
            <w:tcMar>
              <w:left w:w="0" w:type="dxa"/>
              <w:top w:w="0" w:type="dxa"/>
              <w:right w:w="0" w:type="dxa"/>
              <w:bottom w:w="0" w:type="dxa"/>
            </w:tcMar>
            <w:tcW w:w="1286" w:type="dxa"/>
            <w:vAlign w:val="top"/>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套</w:t>
            </w:r>
            <w:r>
              <w:rPr>
                <w:color w:val="000000" w:themeColor="text1"/>
                <w:highlight w:val="none"/>
              </w:rPr>
            </w:r>
          </w:p>
        </w:tc>
      </w:tr>
    </w:tbl>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注：采购人已无偿提供的作业设备，或准备放置评分项中做考察的，不在此重复要求。</w:t>
      </w:r>
      <w:r>
        <w:rPr>
          <w:color w:val="000000" w:themeColor="text1"/>
          <w:highlight w:val="none"/>
        </w:rPr>
      </w:r>
    </w:p>
    <w:p>
      <w:pPr>
        <w:pStyle w:val="861"/>
        <w:numPr>
          <w:ilvl w:val="0"/>
          <w:numId w:val="0"/>
        </w:numPr>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物业管理服务人员需求</w:t>
      </w:r>
      <w:r>
        <w:rPr>
          <w:color w:val="000000" w:themeColor="text1"/>
          <w:highlight w:val="none"/>
        </w:rPr>
      </w:r>
    </w:p>
    <w:p>
      <w:pPr>
        <w:pStyle w:val="861"/>
        <w:ind w:firstLine="482"/>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highlight w:val="none"/>
        </w:rPr>
        <w:t xml:space="preserve">本项目不允许配置按国家规定可不缴纳社保的人员</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74"/>
        <w:gridCol w:w="2440"/>
        <w:gridCol w:w="1414"/>
        <w:gridCol w:w="3179"/>
      </w:tblGrid>
      <w:tr>
        <w:trPr>
          <w:trHeight w:val="522"/>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sz w:val="22"/>
                <w:highlight w:val="none"/>
              </w:rPr>
              <w:t xml:space="preserve">类别</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sz w:val="22"/>
                <w:highlight w:val="none"/>
              </w:rPr>
              <w:t xml:space="preserve">岗位</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rPr>
              <w:t xml:space="preserve">人数</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sz w:val="22"/>
                <w:highlight w:val="none"/>
              </w:rPr>
              <w:t xml:space="preserve">备注</w:t>
            </w:r>
            <w:r>
              <w:rPr>
                <w:color w:val="000000" w:themeColor="text1"/>
                <w:highlight w:val="none"/>
              </w:rPr>
            </w:r>
          </w:p>
        </w:tc>
      </w:tr>
      <w:tr>
        <w:trPr>
          <w:trHeight w:val="702"/>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项目管理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rPr>
              <w:t xml:space="preserve">项目</w:t>
            </w:r>
            <w:r>
              <w:rPr>
                <w:rFonts w:ascii="宋体" w:hAnsi="宋体" w:cs="宋体"/>
                <w:color w:val="000000" w:themeColor="text1"/>
                <w:sz w:val="22"/>
                <w:highlight w:val="none"/>
              </w:rPr>
              <w:t xml:space="preserve">经理</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w:t>
            </w:r>
            <w:r>
              <w:rPr>
                <w:color w:val="000000" w:themeColor="text1"/>
                <w:highlight w:val="none"/>
              </w:rPr>
            </w:r>
          </w:p>
        </w:tc>
        <w:tc>
          <w:tcPr>
            <w:tcMar>
              <w:left w:w="0" w:type="dxa"/>
              <w:top w:w="0" w:type="dxa"/>
              <w:right w:w="0" w:type="dxa"/>
              <w:bottom w:w="0" w:type="dxa"/>
            </w:tcMar>
            <w:tcW w:w="3179"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r>
      <w:tr>
        <w:trPr>
          <w:trHeight w:val="684"/>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工程管理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工程主管</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 </w:t>
            </w:r>
            <w:r>
              <w:rPr>
                <w:color w:val="000000" w:themeColor="text1"/>
                <w:highlight w:val="none"/>
              </w:rPr>
            </w:r>
          </w:p>
        </w:tc>
      </w:tr>
      <w:tr>
        <w:trPr>
          <w:trHeight w:val="695"/>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工程管理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工程人员</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4</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r>
      <w:tr>
        <w:trPr>
          <w:trHeight w:val="675"/>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环境管理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保洁领班</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w:t>
            </w:r>
            <w:r>
              <w:rPr>
                <w:color w:val="000000" w:themeColor="text1"/>
                <w:highlight w:val="none"/>
              </w:rPr>
            </w:r>
          </w:p>
        </w:tc>
        <w:tc>
          <w:tcPr>
            <w:tcMar>
              <w:left w:w="0" w:type="dxa"/>
              <w:top w:w="0" w:type="dxa"/>
              <w:right w:w="0" w:type="dxa"/>
              <w:bottom w:w="0" w:type="dxa"/>
            </w:tcMar>
            <w:tcW w:w="3179" w:type="dxa"/>
            <w:vAlign w:val="top"/>
            <w:textDirection w:val="lrTb"/>
            <w:noWrap/>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r>
      <w:tr>
        <w:trPr>
          <w:trHeight w:val="622"/>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环境管理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保洁人员</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5</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tc>
      </w:tr>
      <w:tr>
        <w:trPr>
          <w:trHeight w:val="588"/>
        </w:trPr>
        <w:tc>
          <w:tcPr>
            <w:tcMar>
              <w:left w:w="0" w:type="dxa"/>
              <w:top w:w="0" w:type="dxa"/>
              <w:right w:w="0" w:type="dxa"/>
              <w:bottom w:w="0" w:type="dxa"/>
            </w:tcMar>
            <w:tcW w:w="167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安保管理</w:t>
            </w:r>
            <w:r>
              <w:rPr>
                <w:color w:val="000000" w:themeColor="text1"/>
                <w:highlight w:val="none"/>
              </w:rPr>
            </w:r>
          </w:p>
        </w:tc>
        <w:tc>
          <w:tcPr>
            <w:tcMar>
              <w:left w:w="0" w:type="dxa"/>
              <w:top w:w="0" w:type="dxa"/>
              <w:right w:w="0" w:type="dxa"/>
              <w:bottom w:w="0" w:type="dxa"/>
            </w:tcMar>
            <w:tcW w:w="2440"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安保人员</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11</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需持证上岗</w:t>
            </w:r>
            <w:r>
              <w:rPr>
                <w:color w:val="000000" w:themeColor="text1"/>
                <w:highlight w:val="none"/>
              </w:rPr>
            </w:r>
          </w:p>
        </w:tc>
      </w:tr>
      <w:tr>
        <w:trPr>
          <w:trHeight w:val="667"/>
        </w:trPr>
        <w:tc>
          <w:tcPr>
            <w:gridSpan w:val="2"/>
            <w:tcMar>
              <w:left w:w="0" w:type="dxa"/>
              <w:top w:w="0" w:type="dxa"/>
              <w:right w:w="0" w:type="dxa"/>
              <w:bottom w:w="0" w:type="dxa"/>
            </w:tcMar>
            <w:tcW w:w="41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2"/>
                <w:sz w:val="22"/>
                <w:highlight w:val="none"/>
              </w:rPr>
              <w:t xml:space="preserve">人员总数</w:t>
            </w:r>
            <w:r>
              <w:rPr>
                <w:color w:val="000000" w:themeColor="text1"/>
                <w:highlight w:val="none"/>
              </w:rPr>
            </w:r>
          </w:p>
        </w:tc>
        <w:tc>
          <w:tcPr>
            <w:tcMar>
              <w:left w:w="0" w:type="dxa"/>
              <w:top w:w="0" w:type="dxa"/>
              <w:right w:w="0" w:type="dxa"/>
              <w:bottom w:w="0" w:type="dxa"/>
            </w:tcMar>
            <w:tcW w:w="1414"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23</w:t>
            </w:r>
            <w:r>
              <w:rPr>
                <w:color w:val="000000" w:themeColor="text1"/>
                <w:highlight w:val="none"/>
              </w:rPr>
            </w:r>
          </w:p>
        </w:tc>
        <w:tc>
          <w:tcPr>
            <w:tcMar>
              <w:left w:w="0" w:type="dxa"/>
              <w:top w:w="0" w:type="dxa"/>
              <w:right w:w="0" w:type="dxa"/>
              <w:bottom w:w="0" w:type="dxa"/>
            </w:tcMar>
            <w:tcW w:w="3179" w:type="dxa"/>
            <w:vAlign w:val="center"/>
            <w:textDirection w:val="lrTb"/>
            <w:noWrap/>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 </w:t>
            </w:r>
            <w:r>
              <w:rPr>
                <w:color w:val="000000" w:themeColor="text1"/>
                <w:highlight w:val="none"/>
              </w:rPr>
            </w:r>
          </w:p>
        </w:tc>
      </w:tr>
    </w:tbl>
    <w:p>
      <w:pPr>
        <w:pStyle w:val="861"/>
        <w:ind w:firstLine="480"/>
        <w:spacing w:line="85"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cs="宋体"/>
          <w:color w:val="000000" w:themeColor="text1"/>
          <w:sz w:val="24"/>
          <w:highlight w:val="none"/>
        </w:rPr>
      </w:r>
      <w:r>
        <w:rPr>
          <w:color w:val="000000" w:themeColor="text1"/>
          <w:highlight w:val="none"/>
        </w:rPr>
      </w:r>
    </w:p>
    <w:p>
      <w:pPr>
        <w:pStyle w:val="861"/>
        <w:rPr>
          <w:rFonts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r>
      <w:r>
        <w:rPr>
          <w:color w:val="000000" w:themeColor="text1"/>
          <w:highlight w:val="none"/>
        </w:rPr>
      </w:r>
    </w:p>
    <w:p>
      <w:pPr>
        <w:pStyle w:val="861"/>
        <w:rPr>
          <w:rFonts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r>
      <w:r>
        <w:rPr>
          <w:color w:val="000000" w:themeColor="text1"/>
          <w:highlight w:val="none"/>
        </w:rPr>
      </w:r>
    </w:p>
    <w:p>
      <w:pPr>
        <w:pStyle w:val="861"/>
        <w:rPr>
          <w:rFonts w:hint="eastAsia"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6.</w:t>
      </w:r>
      <w:r>
        <w:rPr>
          <w:rFonts w:hint="eastAsia" w:ascii="仿宋" w:hAnsi="仿宋" w:eastAsia="仿宋" w:cs="仿宋"/>
          <w:b/>
          <w:color w:val="000000" w:themeColor="text1"/>
          <w:sz w:val="28"/>
          <w:highlight w:val="none"/>
        </w:rPr>
        <w:t xml:space="preserve">履约验收要求</w:t>
      </w:r>
      <w:r>
        <w:rPr>
          <w:rFonts w:hint="eastAsia" w:ascii="仿宋" w:hAnsi="仿宋" w:eastAsia="仿宋" w:cs="仿宋"/>
          <w:b/>
          <w:color w:val="000000" w:themeColor="text1"/>
          <w:sz w:val="28"/>
          <w:highlight w:val="none"/>
        </w:rPr>
      </w:r>
      <w:r>
        <w:rPr>
          <w:color w:val="000000" w:themeColor="text1"/>
          <w:highlight w:val="none"/>
        </w:rP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6.1履约验收主体：无锡市机关事务管理局</w:t>
      </w:r>
      <w:r>
        <w:rPr>
          <w:rFonts w:hint="eastAsia" w:ascii="宋体" w:hAnsi="宋体"/>
          <w:color w:val="000000" w:themeColor="text1"/>
          <w:sz w:val="24"/>
          <w:szCs w:val="24"/>
          <w:highlight w:val="none"/>
        </w:rPr>
      </w:r>
      <w:r>
        <w:rPr>
          <w:color w:val="000000" w:themeColor="text1"/>
          <w:highlight w:val="none"/>
        </w:rPr>
      </w:r>
    </w:p>
    <w:p>
      <w:pPr>
        <w:pStyle w:val="861"/>
        <w:ind w:firstLine="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6.2履约验收时间：每月25日</w:t>
      </w:r>
      <w:r>
        <w:rPr>
          <w:rFonts w:ascii="宋体" w:hAnsi="宋体"/>
          <w:color w:val="000000" w:themeColor="text1"/>
          <w:sz w:val="24"/>
          <w:szCs w:val="24"/>
          <w:highlight w:val="none"/>
        </w:rPr>
      </w:r>
      <w:r>
        <w:rPr>
          <w:color w:val="000000" w:themeColor="text1"/>
          <w:highlight w:val="none"/>
        </w:rP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6.3履约验收方式：无锡市机关事务管理局驻点监管员督查评分</w:t>
      </w:r>
      <w:r>
        <w:rPr>
          <w:rFonts w:hint="eastAsia" w:ascii="宋体" w:hAnsi="宋体"/>
          <w:color w:val="000000" w:themeColor="text1"/>
          <w:sz w:val="24"/>
          <w:szCs w:val="24"/>
          <w:highlight w:val="none"/>
        </w:rPr>
      </w:r>
      <w:r>
        <w:rPr>
          <w:color w:val="000000" w:themeColor="text1"/>
          <w:highlight w:val="none"/>
        </w:rPr>
      </w:r>
    </w:p>
    <w:p>
      <w:pPr>
        <w:pStyle w:val="861"/>
        <w:ind w:firstLine="240"/>
        <w:spacing w:line="360" w:lineRule="auto"/>
        <w:rPr>
          <w:rFonts w:ascii="仿宋" w:hAnsi="仿宋" w:eastAsia="仿宋" w:cs="仿宋"/>
          <w:bCs/>
          <w:color w:val="000000" w:themeColor="text1"/>
          <w:sz w:val="28"/>
          <w:highlight w:val="none"/>
        </w:rPr>
      </w:pPr>
      <w:r>
        <w:rPr>
          <w:rFonts w:hint="eastAsia" w:ascii="宋体" w:hAnsi="宋体"/>
          <w:color w:val="000000" w:themeColor="text1"/>
          <w:sz w:val="24"/>
          <w:szCs w:val="24"/>
          <w:highlight w:val="none"/>
        </w:rPr>
        <w:t xml:space="preserve">6.4履约验收程序：无锡市机关事务管理局驻点监管员对照招标文件及合同约定的验收标准进行现场查验，并依据《无锡市机关管理局外包单位月度考核表》进行考核打分。中标方需提供每月员工考勤表、工资表及社保缴纳证明资料，由监管员负责审核。验收合格后办理月度服务费结算报销手续，不合格则下达整改通知并监督复验，复验仍不通过则按违约条款处置。</w:t>
      </w:r>
      <w:r>
        <w:rPr>
          <w:rFonts w:ascii="仿宋" w:hAnsi="仿宋" w:eastAsia="仿宋" w:cs="仿宋"/>
          <w:bCs/>
          <w:color w:val="000000" w:themeColor="text1"/>
          <w:sz w:val="28"/>
          <w:highlight w:val="none"/>
        </w:rPr>
      </w:r>
      <w:r>
        <w:rPr>
          <w:color w:val="000000" w:themeColor="text1"/>
          <w:highlight w:val="none"/>
        </w:rPr>
      </w:r>
    </w:p>
    <w:p>
      <w:pPr>
        <w:pStyle w:val="861"/>
        <w:ind w:firstLine="240"/>
        <w:spacing w:line="360" w:lineRule="auto"/>
        <w:rPr>
          <w:rFonts w:ascii="仿宋" w:hAnsi="仿宋" w:eastAsia="仿宋" w:cs="仿宋"/>
          <w:bCs/>
          <w:color w:val="000000" w:themeColor="text1"/>
          <w:sz w:val="28"/>
          <w:highlight w:val="none"/>
        </w:rPr>
      </w:pPr>
      <w:r>
        <w:rPr>
          <w:rFonts w:hint="eastAsia" w:ascii="宋体" w:hAnsi="宋体"/>
          <w:color w:val="000000" w:themeColor="text1"/>
          <w:sz w:val="24"/>
          <w:szCs w:val="24"/>
          <w:highlight w:val="none"/>
        </w:rPr>
        <w:t xml:space="preserve">6.5履约验收内容和标准：详见《无锡市机关管理局外包单位月度考核表》</w:t>
      </w:r>
      <w:r>
        <w:rPr>
          <w:rFonts w:ascii="仿宋" w:hAnsi="仿宋" w:eastAsia="仿宋" w:cs="仿宋"/>
          <w:bCs/>
          <w:color w:val="000000" w:themeColor="text1"/>
          <w:sz w:val="28"/>
          <w:highlight w:val="none"/>
        </w:rPr>
      </w:r>
      <w:r>
        <w:rPr>
          <w:color w:val="000000" w:themeColor="text1"/>
          <w:highlight w:val="none"/>
        </w:rP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无锡市机关管理局外包单位月度考核表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691"/>
        <w:gridCol w:w="527"/>
        <w:gridCol w:w="549"/>
        <w:gridCol w:w="736"/>
        <w:gridCol w:w="5586"/>
      </w:tblGrid>
      <w:tr>
        <w:trPr>
          <w:trHeight w:val="700"/>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序号</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考核内容</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总分值</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扣分值</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扣分事由</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考核细则</w:t>
            </w:r>
            <w:r>
              <w:rPr>
                <w:color w:val="000000" w:themeColor="text1"/>
                <w:highlight w:val="none"/>
              </w:rPr>
            </w:r>
          </w:p>
        </w:tc>
      </w:tr>
      <w:tr>
        <w:trPr>
          <w:trHeight w:val="90"/>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组织管理</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15分</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1.岗位人员按合同要求配齐配全，组织架构、服务方案科学合理；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2.人才梯队建设合理，人员素质、技术等级、相关职称满足岗位需求，员工持证上岗；</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3.岗位分工及工作职责清晰，内部管理严格规范；</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4.员工培训计划、月度工作计划及措施详细，档案资料、工作台账完备，各类登（统）表填写规范齐全；</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5.落实员工考勤制度；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6.员工上班期间统一工装挂牌上岗，仪容仪表端正，服务态度热情周到，服务礼貌使用文明用语；</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7.办公室、值班室、设备房、工具间按规范要求设置。</w:t>
            </w:r>
            <w:r>
              <w:rPr>
                <w:color w:val="000000" w:themeColor="text1"/>
                <w:highlight w:val="none"/>
              </w:rPr>
            </w:r>
          </w:p>
        </w:tc>
      </w:tr>
      <w:tr>
        <w:trPr>
          <w:trHeight w:val="1722"/>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制度建设</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10分</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1.管理制度、岗位工作职责、工作流程、服务承诺、保密守则等按规定上墙公示；</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2.建立突发事件处置工作预案、极端天气应急预案；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3.执行晨会、每周工作例会、每月质量分析会、安全日报制度；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4.有效执行各类值班及请示报告制度；</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5.建立健全员工绩效考核奖惩机制。</w:t>
            </w:r>
            <w:r>
              <w:rPr>
                <w:color w:val="000000" w:themeColor="text1"/>
                <w:highlight w:val="none"/>
              </w:rPr>
            </w:r>
          </w:p>
        </w:tc>
      </w:tr>
      <w:tr>
        <w:trPr>
          <w:trHeight w:val="3175"/>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服务质量</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50分</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 </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 </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1.贯彻执行《物业管理条例》《机关后勤服务质量标准和要求》等行业标准；</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 履行《项目服务外包合同》及服务承诺所规定的服务范围、工作标准及要求（根据合同内容针对性补充考核条款）；</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3.执行上级指令坚决及时；</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4.工作流程畅顺规范，服务规范无偏差，服务跟踪回访对各类投诉意见处理、服务响应时间及时；</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5.设备房、操作间作业所用的设备器械及工具专人保管，摆放规范统一；</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6.定期组织员工业务技能、节能教育培训；</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7.作业场所有无“长明灯”“长流水”“无人空调”等现象。</w:t>
            </w:r>
            <w:r>
              <w:rPr>
                <w:color w:val="000000" w:themeColor="text1"/>
                <w:highlight w:val="none"/>
              </w:rPr>
            </w:r>
          </w:p>
        </w:tc>
      </w:tr>
      <w:tr>
        <w:trPr>
          <w:trHeight w:val="1807"/>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w:t>
            </w:r>
            <w:r>
              <w:rPr>
                <w:color w:val="000000" w:themeColor="text1"/>
                <w:highlight w:val="none"/>
              </w:rP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安全管理</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20分</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 </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1.项目建立安全管理组织架构，落实岗位安全责任制；</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2.建立健全安全管理制度、突发事件应急处置工作预案；</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3.按计划组织安全教育培训及应急演练；</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4.施工作业落实有效安全防范措施，提醒、警示标识牌规范设置；</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5.建立安全巡检台账，安全隐患问题整改处置及时到位；</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6.不得擅自使用非标设备用具、大功率电气设备，禁止电线私拉乱接。</w:t>
            </w:r>
            <w:r>
              <w:rPr>
                <w:color w:val="000000" w:themeColor="text1"/>
                <w:highlight w:val="none"/>
              </w:rPr>
            </w:r>
          </w:p>
        </w:tc>
      </w:tr>
      <w:tr>
        <w:trPr>
          <w:trHeight w:val="1525"/>
        </w:trPr>
        <w:tc>
          <w:tcPr>
            <w:tcMar>
              <w:left w:w="108" w:type="dxa"/>
              <w:top w:w="0" w:type="dxa"/>
              <w:right w:w="108" w:type="dxa"/>
              <w:bottom w:w="0" w:type="dxa"/>
            </w:tcMar>
            <w:tcW w:w="48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w:t>
            </w:r>
            <w:r>
              <w:rPr>
                <w:color w:val="000000" w:themeColor="text1"/>
                <w:highlight w:val="none"/>
              </w:rPr>
            </w:r>
          </w:p>
        </w:tc>
        <w:tc>
          <w:tcPr>
            <w:tcMar>
              <w:left w:w="108" w:type="dxa"/>
              <w:top w:w="0" w:type="dxa"/>
              <w:right w:w="108" w:type="dxa"/>
              <w:bottom w:w="0" w:type="dxa"/>
            </w:tcMar>
            <w:tcW w:w="691"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廉洁自律</w:t>
            </w:r>
            <w:r>
              <w:rPr>
                <w:color w:val="000000" w:themeColor="text1"/>
                <w:highlight w:val="none"/>
              </w:rPr>
            </w:r>
          </w:p>
        </w:tc>
        <w:tc>
          <w:tcPr>
            <w:tcMar>
              <w:left w:w="108" w:type="dxa"/>
              <w:top w:w="0" w:type="dxa"/>
              <w:right w:w="108" w:type="dxa"/>
              <w:bottom w:w="0" w:type="dxa"/>
            </w:tcMar>
            <w:tcW w:w="5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5分</w:t>
            </w:r>
            <w:r>
              <w:rPr>
                <w:color w:val="000000" w:themeColor="text1"/>
                <w:highlight w:val="none"/>
              </w:rPr>
            </w:r>
          </w:p>
        </w:tc>
        <w:tc>
          <w:tcPr>
            <w:tcMar>
              <w:left w:w="108" w:type="dxa"/>
              <w:top w:w="0" w:type="dxa"/>
              <w:right w:w="108" w:type="dxa"/>
              <w:bottom w:w="0" w:type="dxa"/>
            </w:tcMar>
            <w:tcW w:w="549"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rPr>
              <w:t xml:space="preserve"> </w:t>
            </w:r>
            <w:r>
              <w:rPr>
                <w:color w:val="000000" w:themeColor="text1"/>
                <w:highlight w:val="none"/>
              </w:rPr>
            </w:r>
          </w:p>
        </w:tc>
        <w:tc>
          <w:tcPr>
            <w:tcMar>
              <w:left w:w="108" w:type="dxa"/>
              <w:top w:w="0" w:type="dxa"/>
              <w:right w:w="108" w:type="dxa"/>
              <w:bottom w:w="0" w:type="dxa"/>
            </w:tcMar>
            <w:tcW w:w="736" w:type="dxa"/>
            <w:vAlign w:val="center"/>
            <w:textDirection w:val="lrTb"/>
            <w:noWrap w:val="false"/>
          </w:tcPr>
          <w:p>
            <w:pPr>
              <w:pStyle w:val="861"/>
              <w:spacing w:line="3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Mar>
              <w:left w:w="108" w:type="dxa"/>
              <w:top w:w="0" w:type="dxa"/>
              <w:right w:w="108" w:type="dxa"/>
              <w:bottom w:w="0" w:type="dxa"/>
            </w:tcMar>
            <w:tcW w:w="5586"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1.遵守廉洁从业各项规定，不得向中心工作人员赠送礼金、有价证券、礼券、纪念品、烟酒等其他物品；</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2.不得向中心工作人员支付业务回扣、佣金或其他好处；</w:t>
            </w:r>
            <w:r>
              <w:rPr>
                <w:color w:val="000000" w:themeColor="text1"/>
                <w:highlight w:val="none"/>
              </w:rP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highlight w:val="none"/>
              </w:rPr>
              <w:t xml:space="preserve">3.不得违规出现向大楼其他合作供应商或施工单位吃、拿、卡、要现象。</w:t>
            </w:r>
            <w:r>
              <w:rPr>
                <w:color w:val="000000" w:themeColor="text1"/>
                <w:highlight w:val="none"/>
              </w:rPr>
            </w:r>
          </w:p>
        </w:tc>
      </w:tr>
    </w:tbl>
    <w:p>
      <w:pPr>
        <w:pStyle w:val="861"/>
        <w:ind w:firstLine="482"/>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7.其他要求： </w:t>
      </w:r>
      <w:r>
        <w:rPr>
          <w:color w:val="000000" w:themeColor="text1"/>
          <w:highlight w:val="none"/>
        </w:rPr>
      </w:r>
    </w:p>
    <w:p>
      <w:pPr>
        <w:pStyle w:val="861"/>
        <w:ind w:firstLine="48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7.1以下相关费用由供应商承担：本项目预算金额包括中标供应商的全部成本、税金和合理利润，不包括采购人本单位设备运行燃料动力费、水电费以及单次单品超过 300 元的维修维护零配件材料费。 </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（1）中标人自行承担电话费、网络费、有线电视等通讯费用。采购方不提供开办费、前期接管费用，投标人需考虑将以上费用计入投标报价中。</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（2）中标人负责工程类、设备类日常维修，包括维修材料及人工费。防汛、防台风、极端天气抢修物资设备包括防水沙袋、抽水泵、防水布、应急照明设备、雨衣、雨靴、雪铲、草包等由中标人承担。</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（3）中标人负责绿化养护类，包括绿化养护、苗木费、控虫消杀等材料费及人工费。</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（4）中标人自行承担电梯系统管理维护费用包含保养费用、年检费用及日常维修费用（大修除外）。</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（5）中标人负责其他费用包括大楼卫生间卷纸、垃圾袋、擦手纸、洗衣液、会务用品、低值易耗品、清洁、办公用品、垃圾清运费等费用由中标人承担。</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（6）使用低值易耗品及维修等产生的费用支出，中标人需做好明细台账记录，以备监管人员的确认和检查。</w:t>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（7）如在合同期内，</w:t>
      </w:r>
      <w:r>
        <w:rPr>
          <w:rFonts w:ascii="仿宋" w:hAnsi="仿宋" w:eastAsia="仿宋" w:cs="仿宋"/>
          <w:color w:val="000000" w:themeColor="text1"/>
          <w:sz w:val="28"/>
          <w:highlight w:val="none"/>
        </w:rPr>
        <w:t xml:space="preserve">采购方因</w:t>
      </w:r>
      <w:r>
        <w:rPr>
          <w:rFonts w:hint="eastAsia" w:ascii="仿宋" w:hAnsi="仿宋" w:eastAsia="仿宋" w:cs="仿宋"/>
          <w:color w:val="000000" w:themeColor="text1"/>
          <w:sz w:val="28"/>
          <w:highlight w:val="none"/>
        </w:rPr>
        <w:t xml:space="preserve">不可抗力因素需终止物业管理服务的</w:t>
      </w:r>
      <w:r>
        <w:rPr>
          <w:rFonts w:ascii="仿宋" w:hAnsi="仿宋" w:eastAsia="仿宋" w:cs="仿宋"/>
          <w:color w:val="000000" w:themeColor="text1"/>
          <w:sz w:val="28"/>
          <w:highlight w:val="none"/>
        </w:rPr>
        <w:t xml:space="preserve">，</w:t>
      </w:r>
      <w:r>
        <w:rPr>
          <w:rFonts w:ascii="仿宋" w:hAnsi="仿宋" w:eastAsia="仿宋" w:cs="仿宋"/>
          <w:color w:val="000000" w:themeColor="text1"/>
          <w:sz w:val="28"/>
          <w:highlight w:val="none"/>
        </w:rPr>
        <w:t xml:space="preserve">则按照有关规定和法律程序终止双方物业管理合同，由采购方按实际服务的期限支付给中标人相应的物业服务费。</w:t>
      </w:r>
      <w:r>
        <w:rPr>
          <w:color w:val="000000" w:themeColor="text1"/>
          <w:highlight w:val="none"/>
        </w:rPr>
      </w:r>
      <w:r>
        <w:rPr>
          <w:color w:val="000000" w:themeColor="text1"/>
          <w:highlight w:val="none"/>
        </w:rPr>
      </w:r>
    </w:p>
    <w:p>
      <w:pPr>
        <w:pStyle w:val="861"/>
        <w:ind w:firstLine="5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（8）中标人应根据国家、省、市有关法律法规、政策及时与采购方签订《中南西路500号物业管理服务合同》，实行“统一管理、综合服务、自主经营、自负盈亏”，并确保采购方固定资产的合理使用。</w:t>
      </w:r>
      <w:r>
        <w:rPr>
          <w:color w:val="000000" w:themeColor="text1"/>
          <w:highlight w:val="none"/>
        </w:rPr>
      </w:r>
    </w:p>
    <w:p>
      <w:pPr>
        <w:pStyle w:val="861"/>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    7.2 本款涉及的相关服务由供应商承担，服务费用包含在物业服务项目合同金额之内。</w:t>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rPr>
          <w:color w:val="000000" w:themeColor="text1"/>
          <w:sz w:val="28"/>
          <w:szCs w:val="28"/>
          <w:highlight w:val="none"/>
        </w:rPr>
      </w:pPr>
      <w:r>
        <w:rPr>
          <w:rFonts w:ascii="宋体" w:hAnsi="宋体"/>
          <w:bCs/>
          <w:color w:val="000000" w:themeColor="text1"/>
          <w:sz w:val="24"/>
          <w:szCs w:val="24"/>
          <w:highlight w:val="none"/>
        </w:rPr>
        <w:br w:type="page" w:clear="all"/>
      </w:r>
      <w:r>
        <w:rPr>
          <w:rFonts w:hint="eastAsia" w:ascii="宋体" w:hAnsi="宋体"/>
          <w:bCs/>
          <w:color w:val="000000" w:themeColor="text1"/>
          <w:sz w:val="24"/>
          <w:szCs w:val="24"/>
          <w:highlight w:val="none"/>
        </w:rPr>
        <w:t xml:space="preserve">8.</w:t>
      </w:r>
      <w:r>
        <w:rPr>
          <w:color w:val="000000" w:themeColor="text1"/>
          <w:sz w:val="28"/>
          <w:szCs w:val="28"/>
          <w:highlight w:val="none"/>
        </w:rPr>
        <w:t xml:space="preserve">关于中标后项目进行分包的要求</w:t>
      </w:r>
      <w:r>
        <w:rPr>
          <w:color w:val="000000" w:themeColor="text1"/>
          <w:sz w:val="28"/>
          <w:szCs w:val="28"/>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（1）分包内容及要求</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本项目中的</w:t>
      </w:r>
      <w:r>
        <w:rPr>
          <w:rFonts w:hint="eastAsia" w:ascii="宋体" w:hAnsi="宋体"/>
          <w:bCs/>
          <w:color w:val="000000" w:themeColor="text1"/>
          <w:sz w:val="24"/>
          <w:szCs w:val="24"/>
          <w:highlight w:val="none"/>
        </w:rPr>
        <w:t xml:space="preserve">【</w:t>
      </w:r>
      <w:r>
        <w:rPr>
          <w:rFonts w:hint="eastAsia"/>
          <w:b/>
          <w:color w:val="000000" w:themeColor="text1"/>
          <w:highlight w:val="none"/>
          <w:u w:val="single"/>
        </w:rPr>
        <w:t xml:space="preserve">电梯系统的维护和保养服务</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00" w:themeColor="text1"/>
          <w:sz w:val="24"/>
          <w:szCs w:val="24"/>
          <w:highlight w:val="none"/>
        </w:rPr>
        <w:t xml:space="preserve">该分包事项金额为</w:t>
      </w:r>
      <w:r>
        <w:rPr>
          <w:rFonts w:hint="eastAsia" w:ascii="宋体" w:hAnsi="宋体"/>
          <w:bCs/>
          <w:color w:val="000000" w:themeColor="text1"/>
          <w:sz w:val="24"/>
          <w:szCs w:val="24"/>
          <w:highlight w:val="none"/>
        </w:rPr>
        <w:t xml:space="preserve">15000</w:t>
      </w:r>
      <w:r>
        <w:rPr>
          <w:rFonts w:hint="eastAsia" w:ascii="宋体" w:hAnsi="宋体"/>
          <w:bCs/>
          <w:color w:val="000000" w:themeColor="text1"/>
          <w:sz w:val="24"/>
          <w:szCs w:val="24"/>
          <w:highlight w:val="none"/>
        </w:rPr>
        <w:t xml:space="preserve">元/年（本项目服务期为</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年，即该分包事项总金额为</w:t>
      </w:r>
      <w:r>
        <w:rPr>
          <w:rFonts w:hint="eastAsia" w:ascii="宋体" w:hAnsi="宋体"/>
          <w:bCs/>
          <w:color w:val="000000" w:themeColor="text1"/>
          <w:sz w:val="24"/>
          <w:szCs w:val="24"/>
          <w:highlight w:val="none"/>
        </w:rPr>
        <w:t xml:space="preserve">45000</w:t>
      </w:r>
      <w:r>
        <w:rPr>
          <w:rFonts w:hint="eastAsia" w:ascii="宋体" w:hAnsi="宋体"/>
          <w:bCs/>
          <w:color w:val="000000" w:themeColor="text1"/>
          <w:sz w:val="24"/>
          <w:szCs w:val="24"/>
          <w:highlight w:val="none"/>
        </w:rPr>
        <w:t xml:space="preserve">元）。</w:t>
      </w:r>
      <w:r>
        <w:rPr>
          <w:rFonts w:hint="eastAsia" w:ascii="宋体" w:hAnsi="宋体"/>
          <w:bCs/>
          <w:color w:val="000000" w:themeColor="text1"/>
          <w:sz w:val="24"/>
          <w:szCs w:val="24"/>
          <w:highlight w:val="none"/>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（2）关于分包事项投标人或分包供应商应具备的资质条件要求</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b/>
          <w:color w:val="000000" w:themeColor="text1"/>
          <w:highlight w:val="none"/>
          <w:u w:val="single"/>
        </w:rPr>
        <w:t xml:space="preserve">电梯系统的维护和保养服务</w:t>
      </w:r>
      <w:r>
        <w:rPr>
          <w:rFonts w:hint="eastAsia" w:ascii="宋体" w:hAnsi="宋体"/>
          <w:bCs/>
          <w:color w:val="000000" w:themeColor="text1"/>
          <w:sz w:val="24"/>
          <w:szCs w:val="24"/>
          <w:highlight w:val="none"/>
        </w:rPr>
        <w:t xml:space="preserve">】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以及“杂物电梯（含防爆电梯中的杂物电梯）”。</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（3）投标人须提供的材料</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
          <w:bCs/>
          <w:color w:val="000000" w:themeColor="text1"/>
          <w:sz w:val="24"/>
          <w:szCs w:val="24"/>
          <w:highlight w:val="none"/>
        </w:rPr>
      </w:pPr>
      <w:r>
        <w:rPr>
          <w:rFonts w:hint="eastAsia" w:ascii="宋体" w:hAnsi="宋体"/>
          <w:bCs/>
          <w:color w:val="000000" w:themeColor="text1"/>
          <w:sz w:val="24"/>
          <w:szCs w:val="24"/>
          <w:highlight w:val="none"/>
        </w:rPr>
        <w:t xml:space="preserve">针对本项目中要求的分包事项，如投标人中标后需要采取分包方式履行合同的，则投标人须在投标文件中载明分包承担主体（即分包供应商）名称，</w:t>
      </w:r>
      <w:r>
        <w:rPr>
          <w:rFonts w:hint="eastAsia" w:ascii="宋体" w:hAnsi="宋体"/>
          <w:b/>
          <w:bCs/>
          <w:color w:val="000000" w:themeColor="text1"/>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themeColor="text1"/>
          <w:sz w:val="24"/>
          <w:szCs w:val="24"/>
          <w:highlight w:val="none"/>
        </w:rPr>
        <w:t xml:space="preserve">针对分包事项，如投标人中标后能够独立履行合同的，</w:t>
      </w:r>
      <w:r>
        <w:rPr>
          <w:rFonts w:hint="eastAsia" w:ascii="宋体" w:hAnsi="宋体"/>
          <w:b/>
          <w:bCs/>
          <w:color w:val="000000" w:themeColor="text1"/>
          <w:sz w:val="24"/>
          <w:szCs w:val="24"/>
          <w:highlight w:val="none"/>
          <w:u w:val="single"/>
        </w:rPr>
        <w:t xml:space="preserve">则投标时须提供投标人承诺函（格式自拟），并加盖投标人公章。</w:t>
      </w:r>
      <w:r>
        <w:rPr>
          <w:rFonts w:ascii="宋体" w:hAnsi="宋体"/>
          <w:b/>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
          <w:bCs/>
          <w:color w:val="000000" w:themeColor="text1"/>
          <w:sz w:val="24"/>
          <w:szCs w:val="24"/>
          <w:highlight w:val="none"/>
        </w:rPr>
      </w:pPr>
      <w:r>
        <w:rPr>
          <w:rFonts w:hint="eastAsia" w:ascii="宋体" w:hAnsi="宋体"/>
          <w:bCs/>
          <w:color w:val="000000" w:themeColor="text1"/>
          <w:sz w:val="24"/>
          <w:szCs w:val="24"/>
          <w:highlight w:val="none"/>
        </w:rPr>
        <w:t xml:space="preserve">针对分包事项应具备的资质条件要求，如投标人中标后需要采取分包方式履行合同的，</w:t>
      </w:r>
      <w:r>
        <w:rPr>
          <w:rFonts w:hint="eastAsia" w:ascii="宋体" w:hAnsi="宋体"/>
          <w:b/>
          <w:bCs/>
          <w:color w:val="000000" w:themeColor="text1"/>
          <w:sz w:val="24"/>
          <w:szCs w:val="24"/>
          <w:highlight w:val="none"/>
          <w:u w:val="single"/>
        </w:rPr>
        <w:t xml:space="preserve">投标时须提供分包供应商的相应资质证明扫描件或复印件并上传至投标系统。</w:t>
      </w:r>
      <w:r>
        <w:rPr>
          <w:rFonts w:hint="eastAsia" w:ascii="宋体" w:hAnsi="宋体"/>
          <w:bCs/>
          <w:color w:val="000000" w:themeColor="text1"/>
          <w:sz w:val="24"/>
          <w:szCs w:val="24"/>
          <w:highlight w:val="none"/>
        </w:rPr>
        <w:t xml:space="preserve">针对分包事项应具备的资质条件要求，如投标人中标后能够独立履行合同的，</w:t>
      </w:r>
      <w:r>
        <w:rPr>
          <w:rFonts w:hint="eastAsia" w:ascii="宋体" w:hAnsi="宋体"/>
          <w:b/>
          <w:bCs/>
          <w:color w:val="000000" w:themeColor="text1"/>
          <w:sz w:val="24"/>
          <w:szCs w:val="24"/>
          <w:highlight w:val="none"/>
          <w:u w:val="single"/>
        </w:rPr>
        <w:t xml:space="preserve">则投标时须提供投标人的相应资质证明扫描件或复印件并上传至投标系统。</w:t>
      </w:r>
      <w:r>
        <w:rPr>
          <w:rFonts w:ascii="宋体" w:hAnsi="宋体"/>
          <w:b/>
          <w:bCs/>
          <w:color w:val="000000" w:themeColor="text1"/>
          <w:sz w:val="24"/>
          <w:szCs w:val="24"/>
          <w:highlight w:val="none"/>
        </w:rPr>
      </w:r>
      <w:r>
        <w:rPr>
          <w:color w:val="000000" w:themeColor="text1"/>
          <w:highlight w:val="none"/>
        </w:rPr>
      </w:r>
    </w:p>
    <w:p>
      <w:pPr>
        <w:pStyle w:val="86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投标人须根据上述情况提供相应证明材料，并上传至投标系统，否则投标文件无效。</w:t>
      </w:r>
      <w:r>
        <w:rPr>
          <w:rFonts w:ascii="宋体" w:hAnsi="宋体"/>
          <w:b/>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（4）关于中小企业的要求</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（5）其他要求</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themeColor="text1"/>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pStyle w:val="861"/>
        <w:ind w:firstLine="480"/>
        <w:spacing w:line="360" w:lineRule="auto"/>
        <w:rPr>
          <w:rFonts w:ascii="宋体" w:hAnsi="宋体"/>
          <w:b/>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61"/>
        <w:numPr>
          <w:ilvl w:val="1"/>
          <w:numId w:val="0"/>
        </w:numPr>
        <w:ind w:left="0" w:firstLine="480"/>
        <w:spacing w:line="360" w:lineRule="auto"/>
        <w:tabs>
          <w:tab w:val="left" w:pos="780" w:leader="none"/>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服务期限：自合同签订生效之日起三年。</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rPr>
        <w:t xml:space="preserve">自合同签订生效之日起算，于次月，经采购方考核合格后向中标供应商逐月支付。</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ascii="宋体"/>
          <w:bCs/>
          <w:color w:val="000000" w:themeColor="text1"/>
          <w:sz w:val="24"/>
          <w:szCs w:val="24"/>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themeColor="text1"/>
          <w:sz w:val="24"/>
          <w:szCs w:val="24"/>
          <w:highlight w:val="none"/>
        </w:rPr>
      </w:r>
      <w:r>
        <w:rPr>
          <w:color w:val="000000" w:themeColor="text1"/>
          <w:highlight w:val="none"/>
        </w:rPr>
      </w:r>
    </w:p>
    <w:p>
      <w:pPr>
        <w:pStyle w:val="861"/>
        <w:numPr>
          <w:ilvl w:val="1"/>
          <w:numId w:val="0"/>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rPr>
      </w:r>
      <w:r>
        <w:rPr>
          <w:color w:val="000000" w:themeColor="text1"/>
          <w:highlight w:val="none"/>
        </w:rP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216" w:name="OLE_LINK2"/>
      <w:r>
        <w:rPr>
          <w:color w:val="000000" w:themeColor="text1"/>
          <w:highlight w:val="none"/>
        </w:rPr>
      </w:r>
      <w:bookmarkStart w:id="217" w:name="OLE_LINK1"/>
      <w:r>
        <w:rPr>
          <w:rFonts w:hint="eastAsia" w:ascii="宋体"/>
          <w:bCs/>
          <w:color w:val="000000" w:themeColor="text1"/>
          <w:sz w:val="24"/>
          <w:szCs w:val="24"/>
          <w:highlight w:val="none"/>
        </w:rPr>
        <w:t xml:space="preserve">《保障中小企业款项支付条例》（中华人民共和国国务院令第802号）</w:t>
      </w:r>
      <w:bookmarkEnd w:id="216"/>
      <w:r>
        <w:rPr>
          <w:color w:val="000000" w:themeColor="text1"/>
          <w:highlight w:val="none"/>
        </w:rPr>
      </w:r>
      <w:bookmarkEnd w:id="217"/>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11.</w:t>
      </w: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w:t>
      </w: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szCs w:val="24"/>
          <w:highlight w:val="none"/>
          <w:lang w:val="en"/>
        </w:rPr>
        <w:t xml:space="preserve">第五章</w:t>
      </w:r>
      <w:r>
        <w:rPr>
          <w:rFonts w:hint="eastAsia" w:ascii="宋体"/>
          <w:bCs/>
          <w:color w:val="000000" w:themeColor="text1"/>
          <w:sz w:val="24"/>
          <w:szCs w:val="24"/>
          <w:highlight w:val="none"/>
          <w:lang w:val="en"/>
        </w:rPr>
        <w:t xml:space="preserve">，如采购项目或者采购包中仅有服务的，则该采购项目或者采购包将不涉及本国产品的支持政策。</w:t>
      </w:r>
      <w:r>
        <w:rPr>
          <w:rFonts w:hint="eastAsia" w:ascii="宋体"/>
          <w:bCs/>
          <w:color w:val="000000" w:themeColor="text1"/>
          <w:sz w:val="24"/>
          <w:szCs w:val="24"/>
          <w:highlight w:val="none"/>
        </w:rPr>
      </w:r>
      <w:r>
        <w:rPr>
          <w:color w:val="000000" w:themeColor="text1"/>
          <w:highlight w:val="none"/>
        </w:rP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218"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4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48"/>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48"/>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48"/>
        <w:spacing w:before="0" w:after="0" w:line="500" w:lineRule="exact"/>
        <w:rPr>
          <w:rStyle w:val="937"/>
          <w:rFonts w:ascii="Times New Roman" w:hAnsi="Times New Roman"/>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37"/>
          <w:rFonts w:ascii="Times New Roman" w:hAnsi="Times New Roman"/>
          <w:color w:val="000000" w:themeColor="text1"/>
          <w:highlight w:val="none"/>
        </w:rPr>
      </w:r>
      <w:r>
        <w:rPr>
          <w:color w:val="000000" w:themeColor="text1"/>
          <w:highlight w:val="none"/>
        </w:rPr>
      </w:r>
    </w:p>
    <w:p>
      <w:pPr>
        <w:pStyle w:val="948"/>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48"/>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48"/>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6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w:t>
      </w:r>
      <w:r>
        <w:rPr>
          <w:rFonts w:hint="eastAsia" w:ascii="宋体" w:hAnsi="宋体"/>
          <w:b/>
          <w:bCs/>
          <w:color w:val="000000" w:themeColor="text1"/>
          <w:sz w:val="24"/>
          <w:szCs w:val="24"/>
          <w:highlight w:val="none"/>
        </w:rPr>
        <w:t xml:space="preserve">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61"/>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p>
    <w:p>
      <w:pPr>
        <w:pStyle w:val="948"/>
        <w:ind w:firstLine="0"/>
        <w:spacing w:before="0" w:after="0" w:line="500" w:lineRule="exact"/>
        <w:rPr>
          <w:rFonts w:hint="eastAsia" w:ascii="宋体" w:hAnsi="宋体"/>
          <w:color w:val="000000" w:themeColor="text1"/>
          <w:highlight w:val="none"/>
          <w:shd w:val="clear" w:color="ffffff" w:fill="d9d9d9"/>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ascii="宋体" w:hAnsi="宋体"/>
          <w:color w:val="000000" w:themeColor="text1"/>
          <w:highlight w:val="none"/>
          <w:shd w:val="clear" w:color="ffffff" w:fill="d9d9d9"/>
        </w:rPr>
      </w:r>
      <w:r>
        <w:rPr>
          <w:color w:val="000000" w:themeColor="text1"/>
          <w:highlight w:val="none"/>
        </w:rPr>
      </w:r>
    </w:p>
    <w:p>
      <w:pPr>
        <w:pStyle w:val="861"/>
        <w:ind w:firstLine="562"/>
        <w:spacing w:line="500" w:lineRule="exact"/>
        <w:tabs>
          <w:tab w:val="left" w:pos="945" w:leader="none"/>
          <w:tab w:val="left" w:pos="1155" w:leader="none"/>
          <w:tab w:val="left" w:pos="3823" w:leader="none"/>
        </w:tabs>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948"/>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w:t>
      </w:r>
      <w:r>
        <w:rPr>
          <w:rFonts w:hint="eastAsia" w:ascii="宋体" w:hAnsi="宋体"/>
          <w:b/>
          <w:color w:val="000000" w:themeColor="text1"/>
          <w:sz w:val="28"/>
          <w:szCs w:val="28"/>
          <w:highlight w:val="none"/>
        </w:rPr>
        <w:t xml:space="preserve">商务部分（40分）</w:t>
      </w:r>
      <w:r>
        <w:rPr>
          <w:rFonts w:hint="eastAsia" w:ascii="宋体" w:hAnsi="宋体"/>
          <w:b/>
          <w:color w:val="000000" w:themeColor="text1"/>
          <w:sz w:val="28"/>
          <w:szCs w:val="28"/>
          <w:highlight w:val="none"/>
        </w:rPr>
      </w:r>
      <w:r>
        <w:rPr>
          <w:color w:val="000000" w:themeColor="text1"/>
          <w:highlight w:val="none"/>
        </w:rP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价格（20分）：</w:t>
      </w:r>
      <w:r>
        <w:rPr>
          <w:rFonts w:ascii="宋体" w:hAnsi="宋体"/>
          <w:b/>
          <w:bCs/>
          <w:color w:val="000000" w:themeColor="text1"/>
          <w:sz w:val="24"/>
          <w:szCs w:val="24"/>
          <w:highlight w:val="none"/>
        </w:rPr>
      </w:r>
      <w:r>
        <w:rPr>
          <w:color w:val="000000" w:themeColor="text1"/>
          <w:highlight w:val="none"/>
        </w:rPr>
      </w:r>
    </w:p>
    <w:p>
      <w:pPr>
        <w:pStyle w:val="86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6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6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人员配置情况（11分）：</w:t>
      </w:r>
      <w:r>
        <w:rPr>
          <w:rFonts w:hint="eastAsia" w:ascii="宋体" w:hAnsi="宋体"/>
          <w:bCs/>
          <w:color w:val="000000" w:themeColor="text1"/>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2.1项目经理（3分）：拟派项目经理年龄在45周岁</w:t>
      </w:r>
      <w:r>
        <w:rPr>
          <w:rFonts w:hint="eastAsia" w:ascii="宋体" w:hAnsi="宋体"/>
          <w:color w:val="000000" w:themeColor="text1"/>
          <w:sz w:val="24"/>
          <w:highlight w:val="none"/>
        </w:rPr>
        <w:t xml:space="preserve">（不含）</w:t>
      </w:r>
      <w:r>
        <w:rPr>
          <w:rFonts w:hint="eastAsia" w:ascii="宋体" w:hAnsi="宋体"/>
          <w:color w:val="000000" w:themeColor="text1"/>
          <w:sz w:val="24"/>
          <w:highlight w:val="none"/>
        </w:rPr>
        <w:t xml:space="preserve">以下且具有本科（含）及以上学历的得1分，需提供身份证扫描件和有效的学历证书扫描件，否则不得分；</w:t>
      </w:r>
      <w:r>
        <w:rPr>
          <w:rFonts w:hint="eastAsia" w:ascii="宋体" w:hAnsi="宋体"/>
          <w:bCs/>
          <w:color w:val="000000" w:themeColor="text1"/>
          <w:sz w:val="24"/>
          <w:szCs w:val="24"/>
          <w:highlight w:val="none"/>
        </w:rPr>
        <w:t xml:space="preserve">具备物业管理师职业资格证书（技能等级证书）的得1分</w:t>
      </w:r>
      <w:r>
        <w:rPr>
          <w:rFonts w:hint="eastAsia" w:ascii="宋体" w:hAnsi="宋体"/>
          <w:color w:val="000000" w:themeColor="text1"/>
          <w:sz w:val="24"/>
          <w:highlight w:val="none"/>
        </w:rPr>
        <w:t xml:space="preserve">；</w:t>
      </w:r>
      <w:r>
        <w:rPr>
          <w:rFonts w:hint="eastAsia" w:ascii="宋体" w:cs="宋体"/>
          <w:color w:val="000000" w:themeColor="text1"/>
          <w:sz w:val="24"/>
          <w:highlight w:val="none"/>
        </w:rPr>
        <w:t xml:space="preserve">具备智能楼宇管理员三级/高级工及以上职业资格证书（技能等级证书）得1分</w:t>
      </w:r>
      <w:r>
        <w:rPr>
          <w:rFonts w:hint="eastAsia" w:ascii="宋体" w:hAnsi="宋体"/>
          <w:color w:val="000000" w:themeColor="text1"/>
          <w:sz w:val="24"/>
          <w:highlight w:val="none"/>
        </w:rPr>
        <w:t xml:space="preserve">。</w:t>
      </w:r>
      <w:r>
        <w:rPr>
          <w:rFonts w:hint="eastAsia" w:ascii="宋体" w:hAnsi="宋体" w:cs="宋体"/>
          <w:color w:val="000000" w:themeColor="text1"/>
          <w:sz w:val="24"/>
          <w:szCs w:val="24"/>
          <w:highlight w:val="none"/>
        </w:rPr>
        <w:t xml:space="preserve">需提供有效的证书扫描件，否则不得</w:t>
      </w:r>
      <w:r>
        <w:rPr>
          <w:rFonts w:hint="eastAsia" w:ascii="宋体" w:hAnsi="宋体"/>
          <w:bCs/>
          <w:color w:val="000000" w:themeColor="text1"/>
          <w:sz w:val="24"/>
          <w:szCs w:val="24"/>
          <w:highlight w:val="none"/>
        </w:rPr>
        <w:t xml:space="preserve">分</w:t>
      </w:r>
      <w:r>
        <w:rPr>
          <w:rFonts w:hint="eastAsia" w:ascii="宋体" w:hAnsi="宋体"/>
          <w:color w:val="000000" w:themeColor="text1"/>
          <w:sz w:val="24"/>
          <w:highlight w:val="none"/>
        </w:rPr>
        <w:t xml:space="preserve">，本项最高得3分。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2.2工程主管（3分）：拟派工程主管</w:t>
      </w:r>
      <w:r>
        <w:rPr>
          <w:rFonts w:hint="eastAsia" w:ascii="宋体" w:hAnsi="宋体"/>
          <w:bCs/>
          <w:color w:val="000000" w:themeColor="text1"/>
          <w:sz w:val="24"/>
          <w:szCs w:val="24"/>
          <w:highlight w:val="none"/>
        </w:rPr>
        <w:t xml:space="preserve">年龄在50周岁</w:t>
      </w:r>
      <w:r>
        <w:rPr>
          <w:rFonts w:hint="eastAsia" w:ascii="宋体" w:hAnsi="宋体"/>
          <w:bCs/>
          <w:color w:val="000000" w:themeColor="text1"/>
          <w:sz w:val="24"/>
          <w:szCs w:val="24"/>
          <w:highlight w:val="none"/>
        </w:rPr>
        <w:t xml:space="preserve">（不含）</w:t>
      </w:r>
      <w:r>
        <w:rPr>
          <w:rFonts w:hint="eastAsia" w:ascii="宋体" w:hAnsi="宋体"/>
          <w:bCs/>
          <w:color w:val="000000" w:themeColor="text1"/>
          <w:sz w:val="24"/>
          <w:szCs w:val="24"/>
          <w:highlight w:val="none"/>
        </w:rPr>
        <w:t xml:space="preserve">以下且具有大专（含）及以上学历</w:t>
      </w:r>
      <w:r>
        <w:rPr>
          <w:rFonts w:hint="eastAsia" w:ascii="宋体" w:hAnsi="宋体"/>
          <w:bCs/>
          <w:color w:val="000000" w:themeColor="text1"/>
          <w:sz w:val="24"/>
          <w:highlight w:val="none"/>
        </w:rPr>
        <w:t xml:space="preserve">证书的得1分，需提供身份证扫描件和有效的学历证书扫描件，否则不得分。具备</w:t>
      </w:r>
      <w:r>
        <w:rPr>
          <w:rFonts w:hint="eastAsia" w:ascii="宋体" w:hAnsi="宋体"/>
          <w:bCs/>
          <w:color w:val="000000" w:themeColor="text1"/>
          <w:sz w:val="24"/>
          <w:szCs w:val="24"/>
          <w:highlight w:val="none"/>
        </w:rPr>
        <w:t xml:space="preserve">特种作业操作证（操作项目：高压电工作业）的得1分；</w:t>
      </w:r>
      <w:r>
        <w:rPr>
          <w:rFonts w:hint="eastAsia" w:ascii="宋体" w:hAnsi="宋体"/>
          <w:color w:val="000000" w:themeColor="text1"/>
          <w:sz w:val="24"/>
          <w:highlight w:val="none"/>
        </w:rPr>
        <w:t xml:space="preserve">具备维修电工职业资格证书四级（含）/中级工以上的得1分。需提供有效的证书扫描件，否则不得分，本项最高3分。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2.3保洁人员（2分）：</w:t>
      </w:r>
      <w:r>
        <w:rPr>
          <w:rFonts w:hint="eastAsia" w:ascii="宋体" w:hAnsi="宋体"/>
          <w:bCs/>
          <w:color w:val="000000" w:themeColor="text1"/>
          <w:sz w:val="24"/>
          <w:szCs w:val="24"/>
          <w:highlight w:val="none"/>
        </w:rPr>
        <w:t xml:space="preserve">具备有效的</w:t>
      </w:r>
      <w:r>
        <w:rPr>
          <w:rFonts w:hint="eastAsia" w:ascii="宋体" w:hAnsi="宋体"/>
          <w:bCs/>
          <w:color w:val="000000" w:themeColor="text1"/>
          <w:sz w:val="24"/>
          <w:szCs w:val="24"/>
          <w:highlight w:val="none"/>
        </w:rPr>
        <w:t xml:space="preserve">四级/中级工</w:t>
      </w:r>
      <w:r>
        <w:rPr>
          <w:rFonts w:hint="eastAsia" w:ascii="宋体" w:hAnsi="宋体"/>
          <w:bCs/>
          <w:color w:val="000000" w:themeColor="text1"/>
          <w:sz w:val="24"/>
          <w:szCs w:val="24"/>
          <w:highlight w:val="none"/>
        </w:rPr>
        <w:t xml:space="preserve">及以上有害生物防制员职业资格证书（技能等级证书）的</w:t>
      </w:r>
      <w:r>
        <w:rPr>
          <w:rFonts w:hint="eastAsia" w:ascii="宋体" w:hAnsi="宋体"/>
          <w:color w:val="000000" w:themeColor="text1"/>
          <w:sz w:val="24"/>
          <w:szCs w:val="24"/>
          <w:highlight w:val="none"/>
        </w:rPr>
        <w:t xml:space="preserve">，每有一人得1分。</w:t>
      </w:r>
      <w:r>
        <w:rPr>
          <w:rFonts w:hint="eastAsia" w:ascii="宋体" w:hAnsi="宋体"/>
          <w:bCs/>
          <w:color w:val="000000" w:themeColor="text1"/>
          <w:sz w:val="24"/>
          <w:szCs w:val="24"/>
          <w:highlight w:val="none"/>
        </w:rPr>
        <w:t xml:space="preserve">需提供有效的证书扫描件，否则不得分，</w:t>
      </w:r>
      <w:r>
        <w:rPr>
          <w:rFonts w:hint="eastAsia" w:ascii="宋体" w:hAnsi="宋体"/>
          <w:color w:val="000000" w:themeColor="text1"/>
          <w:sz w:val="24"/>
          <w:szCs w:val="24"/>
          <w:highlight w:val="none"/>
        </w:rPr>
        <w:t xml:space="preserve">本项最高得2分。</w:t>
      </w:r>
      <w:r>
        <w:rPr>
          <w:rFonts w:hint="eastAsia" w:ascii="宋体" w:hAnsi="宋体"/>
          <w:color w:val="000000" w:themeColor="text1"/>
          <w:sz w:val="24"/>
          <w:szCs w:val="24"/>
          <w:highlight w:val="none"/>
        </w:rPr>
      </w:r>
      <w:r>
        <w:rPr>
          <w:color w:val="000000" w:themeColor="text1"/>
          <w:highlight w:val="none"/>
        </w:rPr>
      </w:r>
    </w:p>
    <w:p>
      <w:pPr>
        <w:pStyle w:val="976"/>
        <w:ind w:firstLine="480"/>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2.4安保人员（3分）：具备保安员四级/中级工</w:t>
      </w:r>
      <w:r>
        <w:rPr>
          <w:rFonts w:hint="eastAsia" w:ascii="宋体" w:hAnsi="宋体"/>
          <w:color w:val="000000" w:themeColor="text1"/>
          <w:sz w:val="24"/>
          <w:szCs w:val="21"/>
          <w:highlight w:val="none"/>
        </w:rPr>
        <w:t xml:space="preserve">及以上</w:t>
      </w:r>
      <w:r>
        <w:rPr>
          <w:rFonts w:hint="eastAsia" w:ascii="宋体" w:hAnsi="宋体"/>
          <w:color w:val="000000" w:themeColor="text1"/>
          <w:sz w:val="24"/>
          <w:szCs w:val="21"/>
          <w:highlight w:val="none"/>
        </w:rPr>
        <w:t xml:space="preserve">职业资格证书（技能等级证书）的，每有一人得1分。需提供有效的证书扫描件，否则不得分，本项目最高得3分。</w:t>
      </w:r>
      <w:r>
        <w:rPr>
          <w:rFonts w:ascii="宋体" w:hAnsi="宋体"/>
          <w:color w:val="000000" w:themeColor="text1"/>
          <w:sz w:val="24"/>
          <w:szCs w:val="21"/>
          <w:highlight w:val="none"/>
        </w:rPr>
      </w:r>
      <w:r>
        <w:rPr>
          <w:color w:val="000000" w:themeColor="text1"/>
          <w:highlight w:val="none"/>
        </w:rP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投标人评价（9分）：</w:t>
      </w:r>
      <w:r>
        <w:rPr>
          <w:rFonts w:ascii="宋体" w:hAnsi="宋体"/>
          <w:b/>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3.1业绩（3分）：投标人自2023年1月1日以来（以合同签订日期为准）具有与本项目同类的案例，每提供一份有效合同得1分，最高不超过3分；合同扫描件上传至投标系统中，否则不得分。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color w:val="000000" w:themeColor="text1"/>
          <w:highlight w:val="none"/>
        </w:rPr>
      </w:pPr>
      <w:r>
        <w:rPr>
          <w:rFonts w:hint="eastAsia" w:ascii="宋体" w:hAnsi="宋体"/>
          <w:color w:val="000000" w:themeColor="text1"/>
          <w:sz w:val="24"/>
          <w:highlight w:val="none"/>
        </w:rPr>
        <w:t xml:space="preserve">3.2荣誉（3分）：</w:t>
      </w:r>
      <w:r>
        <w:rPr>
          <w:rFonts w:hint="eastAsia" w:ascii="宋体" w:hAnsi="宋体" w:cs="宋体"/>
          <w:color w:val="000000" w:themeColor="text1"/>
          <w:sz w:val="24"/>
          <w:szCs w:val="24"/>
          <w:highlight w:val="none"/>
        </w:rPr>
        <w:t xml:space="preserve">投标人自2023年1月1日（以获奖日期为准）以来，获得过政府部门颁发的与物业管理有关的荣誉或奖励的得1分；须提供相应有效获奖证明，本项最高得3分。</w:t>
      </w:r>
      <w:r>
        <w:rPr>
          <w:color w:val="000000" w:themeColor="text1"/>
          <w:highlight w:val="none"/>
        </w:rPr>
      </w:r>
    </w:p>
    <w:p>
      <w:pPr>
        <w:pStyle w:val="861"/>
        <w:ind w:firstLine="480"/>
        <w:spacing w:line="500" w:lineRule="exact"/>
        <w:rPr>
          <w:rFonts w:hint="eastAsia" w:ascii="宋体" w:hAnsi="宋体"/>
          <w:b/>
          <w:color w:val="000000" w:themeColor="text1"/>
          <w:sz w:val="28"/>
          <w:szCs w:val="28"/>
          <w:highlight w:val="none"/>
        </w:rPr>
      </w:pPr>
      <w:r>
        <w:rPr>
          <w:rFonts w:hint="eastAsia" w:ascii="宋体" w:hAnsi="宋体"/>
          <w:color w:val="000000" w:themeColor="text1"/>
          <w:sz w:val="24"/>
          <w:highlight w:val="none"/>
        </w:rPr>
        <w:t xml:space="preserve">3.3认证体系（3分）：投标人具有效期内的质量管理体系认证证书得1分，环境管理体系认证证书得1分，职业安全健康管理体系认证证书得1分，投标时需提供相关证书扫描件否则不得分，本项最高得3分。</w:t>
      </w: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w:t>
      </w:r>
      <w:r>
        <w:rPr>
          <w:rFonts w:hint="eastAsia" w:ascii="宋体" w:hAnsi="宋体"/>
          <w:b/>
          <w:color w:val="000000" w:themeColor="text1"/>
          <w:sz w:val="28"/>
          <w:szCs w:val="28"/>
          <w:highlight w:val="none"/>
        </w:rPr>
        <w:t xml:space="preserve">技术部分（60分）</w:t>
      </w:r>
      <w:r>
        <w:rPr>
          <w:rFonts w:hint="eastAsia" w:ascii="宋体" w:hAnsi="宋体"/>
          <w:b/>
          <w:color w:val="000000" w:themeColor="text1"/>
          <w:sz w:val="28"/>
          <w:szCs w:val="28"/>
          <w:highlight w:val="none"/>
        </w:rPr>
      </w:r>
      <w:r>
        <w:rPr>
          <w:color w:val="000000" w:themeColor="text1"/>
          <w:highlight w:val="none"/>
        </w:rPr>
      </w:r>
    </w:p>
    <w:p>
      <w:pPr>
        <w:pStyle w:val="948"/>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项目方案（60分）：</w:t>
      </w:r>
      <w:r>
        <w:rPr>
          <w:rFonts w:hint="eastAsia" w:ascii="宋体" w:hAnsi="宋体"/>
          <w:bCs/>
          <w:color w:val="000000" w:themeColor="text1"/>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4.1目标及整体设想（6分）：根据投标人对物业管理的目标及整体设想，如：①服务品质、②安全稳定运营、③管理措施、④创新理念、⑤服务模式</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5项全部方案的，得6分；方案较完整，科学合理性较强，设计较清晰详细，能够符合本项目需求，能够提供上述4-5项方案的，得3分；方案完整性、科学合理性、设计的清晰详细程度等只能基本满足要求，能够提供上述2-5项方案的，得2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4.2管理服务体系（6分）：根据投标人对物业管理的服务体系，如：①安全管理、②清洁保洁、③设备管理、④服务及沟通</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6分；方案较完整，科学合理性较强，设计较清晰详细，能够符合本项目需求，能够提供上述3-4项方案的，得3分；方案完整性、科学合理性、设计的清晰详细程度等只能基本满足要求，能够提供上述2-4项方案的，得2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4.3岗前培训及阶段性培训管理（4分）：根据投标人对岗前培训及阶段性培训管理，如：①管理理念、②法律法规、③仪容仪表、④服务态度及操作技能的基本知识培训。</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4分；方案较完整，科学合理性较强，设计较清晰详细，能够符合本项目需求，能够提供上述3-4项方案的，得2分；方案完整性、科学合理性、设计的清晰详细程度等只能基本满足要求，能够提供上述2-4项方案的，得1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4.4日常管理标准及措施（6分）：根据投标人对物业日常管理标准及措施，如：①设施设备安全管理、②消防安全管理、③公共秩序安全管理、④保洁安保管理、⑤停车管理、⑥定期巡检及维护管理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6项全部方案的，得6分；方案较完整，科学合理性较强，设计较清晰详细，能够符合本项目需求，能够提供上述5-6项方案的，得3分；方案完整性、科学合理性、设计的清晰详细程度等只能基本满足要求，能够提供上述3-6项方案的，得2分；提供方案不足3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4.5管理规章制度（6分）：根据投标人提供的物业管理规章制度情况，如：①组织架构与职责、②员工管理、③考勤管理、④监督与考核等。</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6分；方案较完整，科学合理性较强，设计较清晰详细，能够符合本项目需求，能够提供上述3-4项方案的，得3分；方案完整性、科学合理性、设计的清晰详细程度等只能基本满足要求，能够提供上述2-4项方案的，得2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4.6物资装备的配备及维保使用方案（4分）：根据投标人的物资装备的配备及维保使用方案，如：①办公设备、②安保设备、③清洁设备、④维修工具及材料、⑤客户服务物资、⑥应急物资。</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6项全部方案的，得4分；方案较完整，科学合理性较强，设计较清晰详细，能够符合本项目需求，能够提供上述5-6项方案的，得2分；方案完整性、科学合理性、设计的清晰详细程度等只能基本满足要求，能够提供上述3-6项方案的，得1分；提供方案不足3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4.7管理重点难点和措施（7分）：根据投标人提供的物业管理重点难点方面，如：①安全管理方面、②设备维护保养方面、③服务质量方面、④沟通协调方面</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7分；方案较完整，科学合理性较强，设计较清晰详细，能够符合本项目需求，能够提供上述3-4项方案的，得5分；方案完整性、科学合理性、设计的清晰详细程度等只能基本满足要求，能够提供上述2-4项方案的，得3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4.8与采购人以及其他单位、部门的综合协调方案（4分）：根据投标人提供的综合协调方案，如：①协调机制、②具体措施、③评估与改进</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4分；方案较完整，科学合理性较强，设计较清晰详细，能够符合本项目需求，能够提供上述2-3项方案的，得2分；方案完整性、科学合理性、设计的清晰详细程度等只能基本满足要求，能够提供上述1-3项方案的，得1分；提供方案不足1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4.9正式接管前具体措施（3分）：根据投标人提供的正式接管前具体措施，如①制定详细的工作计划、②进行全面的资料交接与整理、③物业的验收、④制定规章制度与培训、⑤建立沟通与合作机制、⑥采购与安装必要的设备、⑦备案与合同签订以及正式接管与运营</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7项全部方案的，得3分；方案较完整，科学合理性较强，设计较清晰详细，能够符合本项目需求，能够提供上述5-7项方案的，得2分；方案完整性、科学合理性、设计的清晰详细程度等只能基本满足要求，能够提供上述3-7项方案的，得1分；提供方案不足3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4.10特殊情况应急预案及措施（4分）：考察投标人有无完善的应急措施，如：①应急预案的建立、②应急预案的培训和演练、③应急物资管理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4分；方案较完整，科学合理性较强，设计较清晰详细，能够符合本项目需求，能够提供上述2-3项方案的，得2分；方案完整性、科学合理性、设计的清晰详细程度等只能基本满足要求，能够提供上述1-3项方案的，得1分；提供方案不足1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4.11档案资料管理（3分）：根据投标人对物业的档案资料管理方案，如：①档案资料内容、②档案资料的安全措施、③档案资料的保密管理、④档案资料的移交管理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3分；方案较完整，科学合理性较强，设计较清晰详细，能够符合本项目需求，能够提供上述3-4项方案的，得2分；方案完整性、科学合理性、设计的清晰详细程度等只能基本满足要求，能够提供上述2-4项方案的，得1分；提供方案不足2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4.12服务响应时间（3分）：根据投标人对不同类型问题的响应时间、方案及措施，如①：紧急情况、一般维修服务、②咨询和投诉、③公共区域维护。</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3分；方案较完整，科学合理性较强，设计较清晰详细，能够符合本项目需求，能够提供上述2-3项方案的，得2分；方案完整性、科学合理性、设计的清晰详细程度等只能基本满足要求，能够提供上述1-3项方案的，得1分；提供方案不足1项或无方案的，不得分。</w:t>
      </w:r>
      <w:r>
        <w:rPr>
          <w:rFonts w:hint="eastAsia" w:ascii="宋体" w:hAnsi="宋体"/>
          <w:color w:val="000000" w:themeColor="text1"/>
          <w:sz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4.13特色与创新（4分）：根据投标人对物业管理服务的特色与创新方案，如：①规范化管理特色、②人性化服务特色、③精细化管理特色、④智能化服务创新、⑤绿色节能环保创新、⑥个性化定制创新</w:t>
      </w:r>
      <w:r>
        <w:rPr>
          <w:rFonts w:hint="eastAsia" w:ascii="宋体" w:hAnsi="宋体"/>
          <w:color w:val="000000" w:themeColor="text1"/>
          <w:sz w:val="24"/>
          <w:highlight w:val="none"/>
        </w:rPr>
      </w:r>
      <w:r>
        <w:rPr>
          <w:color w:val="000000" w:themeColor="text1"/>
          <w:highlight w:val="none"/>
        </w:rPr>
      </w:r>
    </w:p>
    <w:p>
      <w:pPr>
        <w:pStyle w:val="861"/>
        <w:ind w:firstLine="480"/>
        <w:jc w:val="left"/>
        <w:spacing w:line="500" w:lineRule="exact"/>
        <w:rPr>
          <w:rFonts w:hint="eastAsia" w:ascii="黑体" w:hAnsi="黑体" w:eastAsia="黑体"/>
          <w:color w:val="000000" w:themeColor="text1"/>
          <w:sz w:val="36"/>
          <w:szCs w:val="36"/>
          <w:highlight w:val="none"/>
        </w:rPr>
      </w:pPr>
      <w:r>
        <w:rPr>
          <w:rFonts w:hint="eastAsia" w:ascii="宋体" w:hAnsi="宋体"/>
          <w:color w:val="000000" w:themeColor="text1"/>
          <w:sz w:val="24"/>
          <w:highlight w:val="none"/>
        </w:rPr>
        <w:t xml:space="preserve">方案完整，科学合理，设计清晰详细，完全符合本项目需求，且能够提供上述6项全部方案的，得4分；方案较完整，科学合理性较强，设计较清晰详细，能够符合本项目需求，能够提供上述5-6项方案的，得2分；方案完整性、科学合理性、设计的清晰详细程度等只能基本满足要求，能够提供上述3-6项方案的，得1分；提供方案不足3项或无方案的，不得分。</w:t>
      </w:r>
      <w:r>
        <w:rPr>
          <w:rFonts w:hint="eastAsia"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218"/>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48"/>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219" w:name="_Hlt26671244"/>
      <w:r>
        <w:rPr>
          <w:color w:val="000000" w:themeColor="text1"/>
          <w:highlight w:val="none"/>
        </w:rPr>
      </w:r>
      <w:bookmarkEnd w:id="219"/>
      <w:r>
        <w:rPr>
          <w:color w:val="000000" w:themeColor="text1"/>
          <w:highlight w:val="none"/>
        </w:rPr>
      </w:r>
      <w:bookmarkStart w:id="220" w:name="_Hlt26955039"/>
      <w:r>
        <w:rPr>
          <w:color w:val="000000" w:themeColor="text1"/>
          <w:highlight w:val="none"/>
        </w:rPr>
      </w:r>
      <w:bookmarkEnd w:id="220"/>
      <w:r>
        <w:rPr>
          <w:color w:val="000000" w:themeColor="text1"/>
          <w:highlight w:val="none"/>
        </w:rPr>
      </w:r>
      <w:bookmarkStart w:id="221" w:name="_Toc26554094"/>
      <w:r>
        <w:rPr>
          <w:color w:val="000000" w:themeColor="text1"/>
          <w:highlight w:val="none"/>
        </w:rPr>
      </w:r>
      <w:bookmarkStart w:id="222" w:name="_Toc120614282"/>
      <w:r>
        <w:rPr>
          <w:color w:val="000000" w:themeColor="text1"/>
          <w:highlight w:val="none"/>
        </w:rPr>
      </w:r>
      <w:bookmarkStart w:id="223" w:name="_Toc49090576"/>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48"/>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8"/>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48"/>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48"/>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48"/>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7"/>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4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4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48"/>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7</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满足中小企业政策的证明文件（如有中小企业政策要求的）。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48"/>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落实政府采购政策需满足的资格要求，详见第一章《投标邀请》</w:t>
            </w:r>
            <w:r>
              <w:rPr>
                <w:rFonts w:ascii="宋体" w:hAnsi="宋体" w:cs="宋体"/>
                <w:bCs/>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48"/>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48"/>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文件（如有特定资格要求的）。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48"/>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48"/>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48"/>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《联合体协议》（如接受联合体投标且投标人为联合体时须提供，格式自拟）。</w:t>
            </w:r>
            <w:r>
              <w:rPr>
                <w:rFonts w:hint="eastAsia" w:ascii="宋体" w:hAnsi="宋体" w:cs="宋体"/>
                <w:color w:val="000000" w:themeColor="text1"/>
                <w:highlight w:val="none"/>
              </w:rPr>
            </w:r>
            <w:r>
              <w:rPr>
                <w:color w:val="000000" w:themeColor="text1"/>
                <w:highlight w:val="none"/>
              </w:rPr>
            </w:r>
          </w:p>
        </w:tc>
      </w:tr>
    </w:tbl>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61"/>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61"/>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4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4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4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4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4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4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4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48"/>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48"/>
              <w:ind w:firstLine="0"/>
              <w:jc w:val="both"/>
              <w:spacing w:before="0" w:after="0" w:line="240" w:lineRule="auto"/>
              <w:rPr>
                <w:rFonts w:hint="eastAsia" w:cs="Arial"/>
              </w:rPr>
            </w:pPr>
            <w:r>
              <w:rPr>
                <w:rFonts w:hint="eastAsia" w:cs="Arial"/>
              </w:rPr>
            </w:r>
            <w:r/>
          </w:p>
        </w:tc>
      </w:tr>
    </w:tbl>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61"/>
        <w:numPr>
          <w:ilvl w:val="0"/>
          <w:numId w:val="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符合性证明文件及其他证明文件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61"/>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61"/>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61"/>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61"/>
        <w:ind w:left="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ascii="宋体" w:hAnsi="宋体" w:cs="宋体"/>
          <w:color w:val="000000" w:themeColor="text1"/>
          <w:sz w:val="24"/>
          <w:szCs w:val="24"/>
          <w:highlight w:val="none"/>
        </w:rPr>
      </w:r>
      <w:r>
        <w:rPr>
          <w:color w:val="000000" w:themeColor="text1"/>
          <w:highlight w:val="none"/>
        </w:rPr>
      </w:r>
    </w:p>
    <w:p>
      <w:pPr>
        <w:pStyle w:val="861"/>
        <w:ind w:firstLine="480"/>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48"/>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rPr>
        <w:t xml:space="preserve">JSZC-320200-JZCG-G2025-0201</w:t>
      </w:r>
      <w:r>
        <w:rPr>
          <w:rFonts w:hint="eastAsia" w:ascii="黑体" w:hAnsi="华文中宋" w:eastAsia="黑体"/>
          <w:bCs/>
          <w:color w:val="000000" w:themeColor="text1"/>
          <w:sz w:val="30"/>
          <w:szCs w:val="30"/>
          <w:highlight w:val="none"/>
        </w:rPr>
      </w:r>
      <w:r>
        <w:rPr>
          <w:color w:val="000000" w:themeColor="text1"/>
          <w:highlight w:val="none"/>
        </w:rP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rPr>
        <w:t xml:space="preserve">中南西路500号综合楼物业管理服务项目（2026-2029年度）</w:t>
      </w:r>
      <w:r>
        <w:rPr>
          <w:rFonts w:hint="eastAsia" w:ascii="黑体" w:hAnsi="华文中宋" w:eastAsia="黑体"/>
          <w:bCs/>
          <w:color w:val="000000" w:themeColor="text1"/>
          <w:sz w:val="30"/>
          <w:szCs w:val="30"/>
          <w:highlight w:val="none"/>
        </w:rPr>
      </w:r>
      <w:r>
        <w:rPr>
          <w:color w:val="000000" w:themeColor="text1"/>
          <w:highlight w:val="none"/>
        </w:rP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61"/>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61"/>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61"/>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46"/>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rPr>
        <w:t xml:space="preserve">JSZC-320200-JZCG-G2025-0201</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46"/>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46"/>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46"/>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46"/>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46"/>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46"/>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46"/>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46"/>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46"/>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46"/>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46"/>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46"/>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46"/>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46"/>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46"/>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61"/>
        <w:jc w:val="center"/>
        <w:rPr>
          <w:rFonts w:ascii="黑体" w:eastAsia="黑体"/>
          <w:bCs/>
          <w:color w:val="000000" w:themeColor="text1"/>
          <w:sz w:val="28"/>
          <w:szCs w:val="28"/>
          <w:highlight w:val="none"/>
        </w:rPr>
        <w:outlineLvl w:val="0"/>
      </w:pPr>
      <w:r>
        <w:rPr>
          <w:color w:val="000000" w:themeColor="text1"/>
          <w:highlight w:val="none"/>
        </w:rPr>
      </w:r>
      <w:bookmarkStart w:id="224" w:name="报价方关于资格的声明函（格式）"/>
      <w:r>
        <w:rPr>
          <w:color w:val="000000" w:themeColor="text1"/>
          <w:highlight w:val="none"/>
        </w:rPr>
      </w:r>
      <w:bookmarkEnd w:id="224"/>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61"/>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6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6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rPr>
        <w:t xml:space="preserve">JSZC-320200-JZCG-G2025-0201</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61"/>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6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61"/>
        <w:spacing w:line="440" w:lineRule="exact"/>
        <w:rPr>
          <w:rFonts w:hint="eastAsia"/>
          <w:color w:val="000000" w:themeColor="text1"/>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rPr>
          <w:rFonts w:hint="eastAsia"/>
          <w:color w:val="000000" w:themeColor="text1"/>
          <w:highlight w:val="none"/>
        </w:rPr>
      </w:r>
      <w:r>
        <w:rPr>
          <w:color w:val="000000" w:themeColor="text1"/>
          <w:highlight w:val="none"/>
        </w:rPr>
      </w:r>
    </w:p>
    <w:p>
      <w:pPr>
        <w:pStyle w:val="86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物业管理服务</w:t>
      </w:r>
      <w:r>
        <w:rPr>
          <w:rFonts w:hint="eastAsia" w:ascii="宋体" w:hAnsi="宋体"/>
          <w:bCs/>
          <w:color w:val="000000" w:themeColor="text1"/>
          <w:sz w:val="24"/>
          <w:szCs w:val="24"/>
          <w:highlight w:val="none"/>
          <w:u w:val="single"/>
        </w:rPr>
        <w:t xml:space="preserve">（不含电梯系统的维护和保养服务）</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物业管理</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电梯系统的维护和保养服务</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物业管理</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6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6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6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61"/>
        <w:ind w:firstLine="420"/>
        <w:spacing w:line="360" w:lineRule="auto"/>
        <w:rPr>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themeColor="text1"/>
          <w:highlight w:val="none"/>
          <w:u w:val="single"/>
        </w:rPr>
        <w:t xml:space="preserve">“企业名称”应填报为提供该项服务的承建（承接）商，“企业名称（盖章）”处须盖有相应承建（承接）商企业公章</w:t>
      </w:r>
      <w:r>
        <w:rPr>
          <w:rFonts w:hint="eastAsia"/>
          <w:b/>
          <w:color w:val="000000" w:themeColor="text1"/>
          <w:highlight w:val="none"/>
          <w:u w:val="single"/>
        </w:rPr>
        <w:t xml:space="preserve">（即</w:t>
      </w:r>
      <w:r>
        <w:rPr>
          <w:rFonts w:hint="eastAsia"/>
          <w:b/>
          <w:color w:val="000000" w:themeColor="text1"/>
          <w:highlight w:val="none"/>
          <w:u w:val="single"/>
        </w:rPr>
        <w:t xml:space="preserve">电梯系统的维护和保养服务</w:t>
      </w:r>
      <w:r>
        <w:rPr>
          <w:rFonts w:hint="eastAsia"/>
          <w:b/>
          <w:color w:val="000000" w:themeColor="text1"/>
          <w:highlight w:val="none"/>
          <w:u w:val="single"/>
        </w:rPr>
        <w:t xml:space="preserve">如中标后由分包供应商承建（承接）的，则“企业名称（盖章）”处还须盖有该分包供应商单位公章）</w:t>
      </w:r>
      <w:r>
        <w:rPr>
          <w:rFonts w:hint="eastAsia"/>
          <w:b/>
          <w:color w:val="000000" w:themeColor="text1"/>
          <w:highlight w:val="none"/>
          <w:u w:val="single"/>
        </w:rPr>
        <w:t xml:space="preserve">。</w:t>
      </w:r>
      <w:r>
        <w:rPr>
          <w:rFonts w:hint="eastAsia"/>
          <w:color w:val="000000" w:themeColor="text1"/>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p>
    <w:p>
      <w:pPr>
        <w:pStyle w:val="86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61"/>
        <w:ind w:firstLine="420"/>
        <w:spacing w:line="360" w:lineRule="auto"/>
        <w:rPr>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6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61"/>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61"/>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6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61"/>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6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6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61"/>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61"/>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61"/>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6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rPr>
        <w:t xml:space="preserve">JSZC-320200-JZCG-G2025-0201</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5"/>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35"/>
          <w:bCs/>
          <w:color w:val="000000" w:themeColor="text1"/>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61"/>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6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61"/>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61"/>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61"/>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61"/>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rPr>
          <w:color w:val="000000" w:themeColor="text1"/>
          <w:highlight w:val="none"/>
        </w:rPr>
      </w:r>
    </w:p>
    <w:p>
      <w:pPr>
        <w:pStyle w:val="86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ascii="黑体" w:eastAsia="黑体"/>
          <w:bCs/>
          <w:color w:val="000000" w:themeColor="text1"/>
          <w:sz w:val="28"/>
          <w:szCs w:val="28"/>
          <w:highlight w:val="none"/>
        </w:rPr>
      </w:r>
      <w:r>
        <w:rPr>
          <w:color w:val="000000" w:themeColor="text1"/>
          <w:highlight w:val="none"/>
        </w:rPr>
      </w:r>
    </w:p>
    <w:p>
      <w:pPr>
        <w:pStyle w:val="861"/>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rPr>
        <w:t xml:space="preserve">JSZC-320200-JZCG-G2025-0201</w:t>
      </w:r>
      <w:r>
        <w:rPr>
          <w:rFonts w:hint="eastAsia" w:ascii="宋体" w:hAnsi="宋体"/>
          <w:color w:val="000000" w:themeColor="text1"/>
          <w:sz w:val="24"/>
          <w:szCs w:val="24"/>
          <w:highlight w:val="none"/>
        </w:rPr>
        <w:t xml:space="preserve">在此对服务保障做如下承诺：</w:t>
      </w:r>
      <w:r>
        <w:rPr>
          <w:rFonts w:hint="eastAsia" w:ascii="宋体" w:hAnsi="宋体"/>
          <w:color w:val="000000" w:themeColor="text1"/>
          <w:sz w:val="24"/>
          <w:szCs w:val="24"/>
          <w:highlight w:val="none"/>
        </w:rPr>
      </w:r>
      <w:r>
        <w:rPr>
          <w:color w:val="000000" w:themeColor="text1"/>
          <w:highlight w:val="none"/>
        </w:rPr>
      </w:r>
    </w:p>
    <w:p>
      <w:pPr>
        <w:pStyle w:val="861"/>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w:t>
      </w:r>
      <w:r>
        <w:rPr>
          <w:rFonts w:hint="eastAsia" w:ascii="宋体" w:hAnsi="宋体" w:cs="宋体"/>
          <w:color w:val="000000" w:themeColor="text1"/>
          <w:sz w:val="24"/>
          <w:szCs w:val="24"/>
          <w:highlight w:val="none"/>
        </w:rPr>
        <w:t xml:space="preserve">投的投标文件中做出的相应承诺将相关人员及时配置到位。</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r>
      <w:r>
        <w:rPr>
          <w:color w:val="000000" w:themeColor="text1"/>
          <w:highlight w:val="none"/>
        </w:rP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p>
      <w:pPr>
        <w:pStyle w:val="861"/>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r>
      <w:r>
        <w:rPr>
          <w:color w:val="000000" w:themeColor="text1"/>
          <w:highlight w:val="none"/>
        </w:rPr>
      </w:r>
    </w:p>
    <w:p>
      <w:pPr>
        <w:pStyle w:val="861"/>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61"/>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hint="eastAsia" w:ascii="宋体" w:hAnsi="宋体"/>
          <w:bCs/>
          <w:color w:val="000000" w:themeColor="text1"/>
          <w:sz w:val="24"/>
          <w:szCs w:val="24"/>
          <w:highlight w:val="none"/>
        </w:rPr>
      </w:r>
      <w:r>
        <w:rPr>
          <w:color w:val="000000" w:themeColor="text1"/>
          <w:highlight w:val="none"/>
        </w:rPr>
      </w:r>
    </w:p>
    <w:p>
      <w:pPr>
        <w:pStyle w:val="861"/>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rPr>
          <w:rFonts w:hint="eastAsia" w:ascii="宋体" w:hAnsi="宋体"/>
          <w:bCs/>
          <w:color w:val="000000" w:themeColor="text1"/>
          <w:sz w:val="24"/>
          <w:szCs w:val="24"/>
          <w:highlight w:val="none"/>
        </w:rPr>
      </w:r>
      <w:r>
        <w:rPr>
          <w:color w:val="000000" w:themeColor="text1"/>
          <w:highlight w:val="none"/>
        </w:rP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61"/>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rPr>
          <w:rFonts w:ascii="宋体"/>
          <w:bCs/>
          <w:color w:val="000000" w:themeColor="text1"/>
          <w:sz w:val="24"/>
          <w:szCs w:val="24"/>
          <w:highlight w:val="none"/>
        </w:rPr>
      </w:r>
      <w:r>
        <w:rPr>
          <w:color w:val="000000" w:themeColor="text1"/>
          <w:highlight w:val="none"/>
        </w:rPr>
      </w:r>
    </w:p>
    <w:p>
      <w:pPr>
        <w:pStyle w:val="86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61"/>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61"/>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61"/>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6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项目编号：</w:t>
      </w:r>
      <w:r>
        <w:rPr>
          <w:rFonts w:hint="eastAsia" w:ascii="黑体" w:eastAsia="黑体"/>
          <w:bCs/>
          <w:color w:val="000000" w:themeColor="text1"/>
          <w:sz w:val="24"/>
          <w:szCs w:val="24"/>
          <w:highlight w:val="none"/>
        </w:rPr>
        <w:t xml:space="preserve">JSZC-320200-JZCG-G2025-0201</w:t>
      </w:r>
      <w:r>
        <w:rPr>
          <w:rFonts w:hint="eastAsia" w:ascii="黑体" w:eastAsia="黑体"/>
          <w:bCs/>
          <w:color w:val="000000" w:themeColor="text1"/>
          <w:sz w:val="24"/>
          <w:szCs w:val="24"/>
          <w:highlight w:val="none"/>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974"/>
              <w:jc w:val="center"/>
              <w:spacing w:line="400" w:lineRule="exact"/>
              <w:rPr>
                <w:rFonts w:hint="eastAsia" w:hAnsi="宋体"/>
                <w:bCs/>
                <w:color w:val="000000" w:themeColor="text1"/>
                <w:szCs w:val="24"/>
                <w:highlight w:val="none"/>
              </w:rPr>
            </w:pPr>
            <w:r>
              <w:rPr>
                <w:rFonts w:hint="eastAsia" w:hAnsi="宋体"/>
                <w:bCs/>
                <w:color w:val="000000" w:themeColor="text1"/>
                <w:szCs w:val="24"/>
                <w:highlight w:val="none"/>
              </w:rPr>
              <w:t xml:space="preserve">中南西路500号综合楼物业管理服务项目（2026-2029年度）</w:t>
            </w:r>
            <w:r>
              <w:rPr>
                <w:rFonts w:hint="eastAsia" w:hAnsi="宋体"/>
                <w:bCs/>
                <w:color w:val="000000" w:themeColor="text1"/>
                <w:szCs w:val="24"/>
                <w:highlight w:val="none"/>
              </w:rPr>
            </w:r>
            <w:r>
              <w:rPr>
                <w:color w:val="000000" w:themeColor="text1"/>
                <w:highlight w:val="none"/>
              </w:rPr>
            </w:r>
          </w:p>
        </w:tc>
        <w:tc>
          <w:tcPr>
            <w:tcW w:w="3188" w:type="dxa"/>
            <w:vAlign w:val="center"/>
            <w:textDirection w:val="lrTb"/>
            <w:noWrap w:val="false"/>
          </w:tcPr>
          <w:p>
            <w:pPr>
              <w:pStyle w:val="974"/>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61"/>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61"/>
        <w:numPr>
          <w:ilvl w:val="0"/>
          <w:numId w:val="0"/>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Start w:id="225" w:name="_Toc120614284"/>
      <w:r>
        <w:rPr>
          <w:rFonts w:hint="eastAsia"/>
          <w:b/>
          <w:color w:val="000000" w:themeColor="text1"/>
          <w:sz w:val="28"/>
          <w:szCs w:val="28"/>
          <w:highlight w:val="none"/>
        </w:rPr>
      </w:r>
      <w:r>
        <w:rPr>
          <w:color w:val="000000" w:themeColor="text1"/>
          <w:highlight w:val="none"/>
        </w:rPr>
      </w:r>
    </w:p>
    <w:p>
      <w:pPr>
        <w:pStyle w:val="861"/>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rPr>
          <w:rFonts w:hint="eastAsia" w:ascii="黑体" w:hAnsi="宋体" w:eastAsia="黑体"/>
          <w:bCs/>
          <w:color w:val="000000" w:themeColor="text1"/>
          <w:sz w:val="24"/>
          <w:szCs w:val="24"/>
          <w:highlight w:val="none"/>
        </w:rPr>
      </w:r>
      <w:r>
        <w:rPr>
          <w:color w:val="000000" w:themeColor="text1"/>
          <w:highlight w:val="none"/>
        </w:rP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JSZC-320200-JZCG-G2025-0201</w:t>
      </w:r>
      <w:r>
        <w:rPr>
          <w:rFonts w:hint="eastAsia" w:ascii="黑体" w:eastAsia="黑体"/>
          <w:bCs/>
          <w:color w:val="000000" w:themeColor="text1"/>
          <w:sz w:val="24"/>
          <w:szCs w:val="24"/>
          <w:highlight w:val="none"/>
        </w:rPr>
      </w:r>
      <w:r>
        <w:rPr>
          <w:color w:val="000000" w:themeColor="text1"/>
          <w:highlight w:val="none"/>
        </w:rP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rPr>
                <w:rFonts w:hint="eastAsia" w:ascii="宋体" w:hAnsi="宋体"/>
                <w:b/>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rPr>
                <w:rFonts w:hint="eastAsia" w:ascii="宋体" w:hAnsi="宋体"/>
                <w:b/>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rPr>
                <w:rFonts w:hint="eastAsia" w:ascii="宋体" w:hAnsi="宋体"/>
                <w:b/>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交通费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通讯费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培训费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员工餐费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（7）</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b/>
                <w:color w:val="000000" w:themeColor="text1"/>
                <w:highlight w:val="none"/>
              </w:rPr>
              <w:t xml:space="preserve">服装费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保洁工具</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rFonts w:hint="eastAsia" w:ascii="宋体" w:hAnsi="宋体"/>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5</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6</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9</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10</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61"/>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rPr>
                <w:rFonts w:hint="eastAsia" w:ascii="宋体" w:hAnsi="宋体"/>
                <w:b/>
                <w:color w:val="000000" w:themeColor="text1"/>
                <w:highlight w:val="none"/>
              </w:rPr>
            </w:r>
            <w:r>
              <w:rPr>
                <w:color w:val="000000" w:themeColor="text1"/>
                <w:highlight w:val="none"/>
              </w:rP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bl>
    <w:p>
      <w:pPr>
        <w:pStyle w:val="861"/>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32"/>
          <w:highlight w:val="none"/>
        </w:rPr>
      </w:r>
      <w:r>
        <w:rPr>
          <w:color w:val="000000" w:themeColor="text1"/>
          <w:highlight w:val="none"/>
        </w:rPr>
      </w:r>
    </w:p>
    <w:p>
      <w:pPr>
        <w:pStyle w:val="86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themeColor="text1"/>
          <w:highlight w:val="none"/>
        </w:rPr>
      </w:r>
      <w:r>
        <w:rPr>
          <w:color w:val="000000" w:themeColor="text1"/>
          <w:highlight w:val="none"/>
        </w:rPr>
      </w:r>
    </w:p>
    <w:p>
      <w:pPr>
        <w:pStyle w:val="861"/>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rPr>
      </w:r>
      <w:r>
        <w:rPr>
          <w:color w:val="000000" w:themeColor="text1"/>
          <w:highlight w:val="none"/>
        </w:rPr>
      </w:r>
    </w:p>
    <w:p>
      <w:pPr>
        <w:pStyle w:val="861"/>
        <w:ind w:firstLine="420"/>
        <w:rPr>
          <w:rFonts w:ascii="宋体" w:hAnsi="Calibri"/>
          <w:bCs/>
          <w:color w:val="000000" w:themeColor="text1"/>
          <w:highlight w:val="none"/>
        </w:rPr>
        <w:outlineLvl w:val="0"/>
      </w:pPr>
      <w:r>
        <w:rPr>
          <w:rFonts w:hint="eastAsia" w:ascii="宋体" w:hAnsi="宋体"/>
          <w:bCs/>
          <w:color w:val="000000" w:themeColor="text1"/>
          <w:highlight w:val="none"/>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color w:val="000000" w:themeColor="text1"/>
          <w:highlight w:val="none"/>
        </w:rPr>
      </w:r>
      <w:r>
        <w:rPr>
          <w:color w:val="000000" w:themeColor="text1"/>
          <w:highlight w:val="none"/>
        </w:rPr>
      </w:r>
    </w:p>
    <w:p>
      <w:pPr>
        <w:pStyle w:val="861"/>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rPr>
          <w:rFonts w:hint="eastAsia" w:ascii="宋体" w:hAnsi="宋体"/>
          <w:b/>
          <w:bCs/>
          <w:color w:val="000000" w:themeColor="text1"/>
          <w:sz w:val="24"/>
          <w:szCs w:val="24"/>
          <w:highlight w:val="none"/>
        </w:rPr>
      </w:r>
      <w:r>
        <w:rPr>
          <w:color w:val="000000" w:themeColor="text1"/>
          <w:highlight w:val="none"/>
        </w:rP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rPr>
                <w:rFonts w:hint="eastAsia" w:ascii="宋体" w:hAnsi="宋体"/>
                <w:b/>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rPr>
                <w:rFonts w:hint="eastAsia" w:ascii="宋体" w:hAnsi="宋体"/>
                <w:b/>
                <w:color w:val="000000" w:themeColor="text1"/>
                <w:sz w:val="18"/>
                <w:szCs w:val="18"/>
                <w:highlight w:val="none"/>
              </w:rPr>
            </w:r>
            <w:r>
              <w:rPr>
                <w:color w:val="000000" w:themeColor="text1"/>
                <w:highlight w:val="none"/>
              </w:rP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hint="eastAsia" w:ascii="宋体" w:hAnsi="宋体"/>
                <w:b/>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rFonts w:hint="eastAsia" w:ascii="宋体" w:hAnsi="宋体"/>
                <w:b/>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rPr>
                <w:rFonts w:hint="eastAsia"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rPr>
                <w:rFonts w:hint="eastAsia" w:ascii="宋体" w:hAnsi="宋体"/>
                <w:color w:val="000000" w:themeColor="text1"/>
                <w:sz w:val="18"/>
                <w:szCs w:val="18"/>
                <w:highlight w:val="none"/>
              </w:rPr>
            </w:r>
            <w:r>
              <w:rPr>
                <w:color w:val="000000" w:themeColor="text1"/>
                <w:highlight w:val="none"/>
              </w:rPr>
            </w:r>
          </w:p>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color w:val="000000" w:themeColor="text1"/>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rPr>
                <w:rFonts w:ascii="宋体" w:hAnsi="宋体"/>
                <w:b/>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2"/>
            <w:tcW w:w="266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rPr>
        <w:t xml:space="preserve">以上人员费用须包括工资、社保等内容，须符合国家</w:t>
      </w:r>
      <w:r>
        <w:rPr>
          <w:rFonts w:hint="eastAsia" w:ascii="宋体" w:hAnsi="宋体"/>
          <w:bCs/>
          <w:color w:val="000000" w:themeColor="text1"/>
          <w:highlight w:val="none"/>
        </w:rPr>
        <w:t xml:space="preserve">、省、市相关政策规定；</w:t>
      </w:r>
      <w:r>
        <w:rPr>
          <w:rFonts w:hint="eastAsia" w:ascii="宋体" w:hAnsi="宋体"/>
          <w:bCs/>
          <w:color w:val="000000" w:themeColor="text1"/>
          <w:highlight w:val="none"/>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themeColor="text1"/>
          <w:highlight w:val="none"/>
        </w:rPr>
      </w:r>
      <w:r>
        <w:rPr>
          <w:color w:val="000000" w:themeColor="text1"/>
          <w:highlight w:val="none"/>
        </w:rPr>
      </w:r>
    </w:p>
    <w:p>
      <w:pPr>
        <w:pStyle w:val="861"/>
        <w:ind w:firstLine="405"/>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rPr>
      </w:r>
      <w:r>
        <w:rPr>
          <w:color w:val="000000" w:themeColor="text1"/>
          <w:highlight w:val="none"/>
        </w:rPr>
      </w:r>
    </w:p>
    <w:p>
      <w:pPr>
        <w:pStyle w:val="861"/>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rPr>
          <w:rFonts w:hint="eastAsia" w:ascii="宋体" w:hAnsi="宋体"/>
          <w:b/>
          <w:bCs/>
          <w:color w:val="000000" w:themeColor="text1"/>
          <w:sz w:val="24"/>
          <w:szCs w:val="24"/>
          <w:highlight w:val="none"/>
        </w:rPr>
      </w:r>
      <w:r>
        <w:rPr>
          <w:color w:val="000000" w:themeColor="text1"/>
          <w:highlight w:val="none"/>
        </w:rP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rFonts w:hint="eastAsia" w:ascii="宋体" w:hAnsi="宋体"/>
                <w:b/>
                <w:color w:val="000000" w:themeColor="text1"/>
                <w:sz w:val="18"/>
                <w:szCs w:val="18"/>
                <w:highlight w:val="none"/>
              </w:rPr>
            </w:r>
            <w:r>
              <w:rPr>
                <w:color w:val="000000" w:themeColor="text1"/>
                <w:highlight w:val="none"/>
              </w:rPr>
            </w:r>
          </w:p>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rPr>
                <w:rFonts w:hint="eastAsia" w:ascii="宋体" w:hAnsi="宋体"/>
                <w:b/>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hint="eastAsia" w:ascii="宋体" w:hAnsi="宋体"/>
                <w:b/>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hint="eastAsia" w:ascii="宋体" w:hAnsi="宋体"/>
                <w:b/>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rFonts w:hint="eastAsia" w:ascii="宋体" w:hAnsi="宋体"/>
                <w:b/>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85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6"/>
            <w:tcW w:w="521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61"/>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rPr>
          <w:rFonts w:hint="eastAsia" w:ascii="宋体" w:hAnsi="宋体"/>
          <w:b/>
          <w:bCs/>
          <w:color w:val="000000" w:themeColor="text1"/>
          <w:sz w:val="24"/>
          <w:szCs w:val="24"/>
          <w:highlight w:val="none"/>
        </w:rPr>
      </w:r>
      <w:r>
        <w:rPr>
          <w:color w:val="000000" w:themeColor="text1"/>
          <w:highlight w:val="none"/>
        </w:rP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hint="eastAsia" w:ascii="宋体" w:hAnsi="宋体"/>
                <w:b/>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rPr>
                <w:rFonts w:hint="eastAsia" w:ascii="宋体" w:hAnsi="宋体"/>
                <w:b/>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rFonts w:hint="eastAsia" w:ascii="宋体" w:hAnsi="宋体"/>
                <w:b/>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hint="eastAsia" w:ascii="宋体" w:hAnsi="宋体"/>
                <w:b/>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rPr>
                <w:rFonts w:hint="eastAsia" w:ascii="宋体" w:hAnsi="宋体"/>
                <w:b/>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rFonts w:hint="eastAsia" w:ascii="宋体" w:hAnsi="宋体"/>
                <w:b/>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rPr>
                <w:rFonts w:hint="eastAsia" w:ascii="宋体" w:hAnsi="宋体"/>
                <w:b/>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rPr>
                <w:rFonts w:hint="eastAsia" w:ascii="宋体" w:hAnsi="宋体"/>
                <w:b/>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rFonts w:hint="eastAsia" w:ascii="宋体" w:hAnsi="宋体"/>
                <w:b/>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85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8"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3"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r>
        <w:trPr/>
        <w:tc>
          <w:tcPr>
            <w:gridSpan w:val="6"/>
            <w:tcW w:w="507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hint="eastAsia" w:ascii="宋体" w:hAnsi="宋体"/>
                <w:color w:val="000000" w:themeColor="text1"/>
                <w:sz w:val="18"/>
                <w:szCs w:val="18"/>
                <w:highlight w:val="none"/>
              </w:rPr>
            </w:r>
            <w:r>
              <w:rPr>
                <w:color w:val="000000" w:themeColor="text1"/>
                <w:highlight w:val="none"/>
              </w:rP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p>
        </w:tc>
      </w:tr>
    </w:tbl>
    <w:p>
      <w:pPr>
        <w:pStyle w:val="861"/>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rPr>
          <w:rFonts w:ascii="宋体" w:hAnsi="宋体"/>
          <w:b/>
          <w:bCs/>
          <w:color w:val="000000" w:themeColor="text1"/>
          <w:sz w:val="24"/>
          <w:szCs w:val="24"/>
          <w:highlight w:val="none"/>
        </w:rPr>
      </w:r>
      <w:r>
        <w:rPr>
          <w:color w:val="000000" w:themeColor="text1"/>
          <w:highlight w:val="none"/>
        </w:rP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rFonts w:ascii="宋体" w:hAnsi="宋体"/>
                <w:b/>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rPr>
                <w:rFonts w:ascii="宋体" w:hAnsi="宋体"/>
                <w:b/>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rFonts w:ascii="宋体" w:hAnsi="宋体"/>
                <w:b/>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rFonts w:ascii="宋体" w:hAnsi="宋体"/>
                <w:b/>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rFonts w:hint="eastAsia" w:ascii="宋体" w:hAnsi="宋体"/>
                <w:b/>
                <w:color w:val="000000" w:themeColor="text1"/>
                <w:sz w:val="18"/>
                <w:szCs w:val="18"/>
                <w:highlight w:val="none"/>
              </w:rPr>
            </w:r>
            <w:r>
              <w:rPr>
                <w:color w:val="000000" w:themeColor="text1"/>
                <w:highlight w:val="none"/>
              </w:rPr>
            </w:r>
          </w:p>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rFonts w:ascii="宋体" w:hAnsi="宋体"/>
                <w:b/>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rFonts w:ascii="宋体" w:hAnsi="宋体"/>
                <w:b/>
                <w:color w:val="000000" w:themeColor="text1"/>
                <w:sz w:val="18"/>
                <w:szCs w:val="18"/>
                <w:highlight w:val="none"/>
              </w:rPr>
            </w:r>
            <w:r>
              <w:rPr>
                <w:color w:val="000000" w:themeColor="text1"/>
                <w:highlight w:val="none"/>
              </w:rPr>
            </w:r>
          </w:p>
        </w:tc>
      </w:tr>
      <w:tr>
        <w:trPr/>
        <w:tc>
          <w:tcPr>
            <w:tcW w:w="867"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61"/>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c>
          <w:tcPr>
            <w:tcW w:w="86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rFonts w:hint="eastAsia" w:ascii="宋体" w:hAnsi="宋体"/>
                <w:color w:val="000000" w:themeColor="text1"/>
                <w:sz w:val="18"/>
                <w:szCs w:val="18"/>
                <w:highlight w:val="none"/>
              </w:rPr>
            </w:r>
            <w:r>
              <w:rPr>
                <w:color w:val="000000" w:themeColor="text1"/>
                <w:highlight w:val="none"/>
              </w:rPr>
            </w:r>
          </w:p>
        </w:tc>
        <w:tc>
          <w:tcPr>
            <w:tcW w:w="3023" w:type="dxa"/>
            <w:vAlign w:val="center"/>
            <w:textDirection w:val="lrTb"/>
            <w:noWrap w:val="false"/>
          </w:tcPr>
          <w:p>
            <w:pPr>
              <w:pStyle w:val="861"/>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rPr>
                <w:color w:val="000000" w:themeColor="text1"/>
                <w:highlight w:val="none"/>
              </w:rPr>
            </w:r>
          </w:p>
        </w:tc>
        <w:tc>
          <w:tcPr>
            <w:tcW w:w="1214"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c>
          <w:tcPr>
            <w:gridSpan w:val="3"/>
            <w:tcW w:w="5104"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rFonts w:ascii="宋体" w:hAnsi="宋体"/>
                <w:color w:val="000000" w:themeColor="text1"/>
                <w:sz w:val="18"/>
                <w:szCs w:val="18"/>
                <w:highlight w:val="none"/>
              </w:rPr>
            </w:r>
            <w:r>
              <w:rPr>
                <w:color w:val="000000" w:themeColor="text1"/>
                <w:highlight w:val="none"/>
              </w:rP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bl>
    <w:p>
      <w:pPr>
        <w:pStyle w:val="861"/>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rPr>
          <w:rFonts w:ascii="宋体" w:hAnsi="宋体" w:cs="宋体"/>
          <w:color w:val="000000" w:themeColor="text1"/>
          <w:highlight w:val="none"/>
          <w:lang w:val="zh-CN"/>
        </w:rPr>
      </w:r>
      <w:r>
        <w:rPr>
          <w:color w:val="000000" w:themeColor="text1"/>
          <w:highlight w:val="none"/>
        </w:rPr>
      </w:r>
    </w:p>
    <w:p>
      <w:pPr>
        <w:pStyle w:val="861"/>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61"/>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61"/>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6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6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JSZC-320200-JZCG-G2025-0201</w:t>
      </w:r>
      <w:r>
        <w:rPr>
          <w:rFonts w:hint="eastAsia" w:ascii="黑体" w:eastAsia="黑体"/>
          <w:bCs/>
          <w:color w:val="000000" w:themeColor="text1"/>
          <w:sz w:val="24"/>
          <w:szCs w:val="24"/>
          <w:highlight w:val="none"/>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61"/>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61"/>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61"/>
        <w:ind w:firstLine="420"/>
        <w:rPr>
          <w:rFonts w:hint="eastAsia"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25"/>
      <w:r>
        <w:rPr>
          <w:rFonts w:hint="eastAsia" w:ascii="宋体" w:hAnsi="宋体"/>
          <w:bCs/>
          <w:color w:val="000000" w:themeColor="text1"/>
          <w:sz w:val="24"/>
          <w:szCs w:val="24"/>
          <w:highlight w:val="none"/>
        </w:rPr>
      </w:r>
      <w:r>
        <w:rPr>
          <w:color w:val="000000" w:themeColor="text1"/>
          <w:highlight w:val="none"/>
        </w:rPr>
      </w:r>
    </w:p>
    <w:p>
      <w:pPr>
        <w:pStyle w:val="861"/>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6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rPr>
          <w:rFonts w:ascii="宋体" w:hAnsi="宋体"/>
          <w:bCs/>
          <w:color w:val="000000" w:themeColor="text1"/>
          <w:sz w:val="24"/>
          <w:szCs w:val="24"/>
          <w:highlight w:val="none"/>
        </w:rPr>
      </w:r>
      <w:r>
        <w:rPr>
          <w:color w:val="000000" w:themeColor="text1"/>
          <w:highlight w:val="none"/>
        </w:rPr>
      </w:r>
    </w:p>
    <w:p>
      <w:pPr>
        <w:pStyle w:val="861"/>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rPr>
          <w:rFonts w:ascii="宋体" w:hAnsi="宋体"/>
          <w:bCs/>
          <w:color w:val="000000" w:themeColor="text1"/>
          <w:sz w:val="24"/>
          <w:szCs w:val="24"/>
          <w:highlight w:val="none"/>
        </w:rPr>
      </w:r>
      <w:r>
        <w:rPr>
          <w:color w:val="000000" w:themeColor="text1"/>
          <w:highlight w:val="none"/>
        </w:rPr>
      </w:r>
    </w:p>
    <w:p>
      <w:pPr>
        <w:pStyle w:val="86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61"/>
        <w:rPr>
          <w:color w:val="000000" w:themeColor="text1"/>
          <w:highlight w:val="none"/>
        </w:rPr>
      </w:pPr>
      <w:r>
        <w:rPr>
          <w:color w:val="000000" w:themeColor="text1"/>
          <w:highlight w:val="none"/>
        </w:rPr>
      </w:r>
      <w:r>
        <w:rPr>
          <w:color w:val="000000" w:themeColor="text1"/>
          <w:highlight w:val="none"/>
        </w:rPr>
      </w:r>
    </w:p>
    <w:p>
      <w:pPr>
        <w:pStyle w:val="861"/>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rPr>
          <w:rFonts w:hint="eastAsia"/>
          <w:b/>
          <w:color w:val="000000" w:themeColor="text1"/>
          <w:sz w:val="28"/>
          <w:szCs w:val="28"/>
          <w:highlight w:val="none"/>
        </w:rPr>
      </w:r>
      <w:r>
        <w:rPr>
          <w:color w:val="000000" w:themeColor="text1"/>
          <w:highlight w:val="none"/>
        </w:rPr>
      </w:r>
    </w:p>
    <w:p>
      <w:pPr>
        <w:pStyle w:val="861"/>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rPr>
          <w:color w:val="000000" w:themeColor="text1"/>
          <w:highlight w:val="none"/>
        </w:rPr>
      </w:r>
    </w:p>
    <w:p>
      <w:pPr>
        <w:pStyle w:val="861"/>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rPr>
          <w:rFonts w:hint="eastAsia" w:ascii="黑体" w:hAnsi="宋体" w:eastAsia="黑体"/>
          <w:bCs/>
          <w:color w:val="000000" w:themeColor="text1"/>
          <w:sz w:val="24"/>
          <w:szCs w:val="24"/>
          <w:highlight w:val="none"/>
        </w:rPr>
      </w:r>
      <w:r>
        <w:rPr>
          <w:color w:val="000000" w:themeColor="text1"/>
          <w:highlight w:val="none"/>
        </w:rPr>
      </w:r>
    </w:p>
    <w:p>
      <w:pPr>
        <w:pStyle w:val="861"/>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61"/>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JSZC-320200-JZCG-G2025-0201</w:t>
      </w:r>
      <w:r>
        <w:rPr>
          <w:rFonts w:hint="eastAsia" w:ascii="黑体" w:eastAsia="黑体"/>
          <w:bCs/>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098"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44"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性别</w:t>
            </w:r>
            <w:r>
              <w:rPr>
                <w:rFonts w:hint="eastAsia"/>
                <w:b/>
                <w:color w:val="000000" w:themeColor="text1"/>
                <w:sz w:val="24"/>
                <w:highlight w:val="none"/>
              </w:rPr>
            </w:r>
            <w:r>
              <w:rPr>
                <w:color w:val="000000" w:themeColor="text1"/>
                <w:highlight w:val="none"/>
              </w:rPr>
            </w:r>
          </w:p>
        </w:tc>
        <w:tc>
          <w:tcPr>
            <w:tcW w:w="709"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834"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学历</w:t>
            </w:r>
            <w:r>
              <w:rPr>
                <w:rFonts w:hint="eastAsia"/>
                <w:b/>
                <w:color w:val="000000" w:themeColor="text1"/>
                <w:sz w:val="24"/>
                <w:highlight w:val="none"/>
              </w:rPr>
            </w:r>
            <w:r>
              <w:rPr>
                <w:color w:val="000000" w:themeColor="text1"/>
                <w:highlight w:val="none"/>
              </w:rPr>
            </w:r>
          </w:p>
        </w:tc>
        <w:tc>
          <w:tcPr>
            <w:tcW w:w="1276"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岗位职责</w:t>
            </w:r>
            <w:r>
              <w:rPr>
                <w:b/>
                <w:color w:val="000000" w:themeColor="text1"/>
                <w:sz w:val="24"/>
                <w:highlight w:val="none"/>
              </w:rPr>
            </w:r>
            <w:r>
              <w:rPr>
                <w:color w:val="000000" w:themeColor="text1"/>
                <w:highlight w:val="none"/>
              </w:rPr>
            </w:r>
          </w:p>
        </w:tc>
        <w:tc>
          <w:tcPr>
            <w:tcW w:w="1285"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c>
          <w:tcPr>
            <w:tcW w:w="1833"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人员经验描述</w:t>
            </w:r>
            <w:r>
              <w:rPr>
                <w:rFonts w:hint="eastAsia"/>
                <w:b/>
                <w:color w:val="000000" w:themeColor="text1"/>
                <w:sz w:val="24"/>
                <w:highlight w:val="none"/>
              </w:rPr>
            </w:r>
            <w:r>
              <w:rPr>
                <w:color w:val="000000" w:themeColor="text1"/>
                <w:highlight w:val="none"/>
              </w:rPr>
            </w:r>
          </w:p>
          <w:p>
            <w:pPr>
              <w:pStyle w:val="861"/>
              <w:jc w:val="center"/>
              <w:rPr>
                <w:rFonts w:hint="eastAsia"/>
                <w:b/>
                <w:color w:val="000000" w:themeColor="text1"/>
                <w:sz w:val="24"/>
                <w:highlight w:val="none"/>
              </w:rPr>
            </w:pPr>
            <w:r>
              <w:rPr>
                <w:rFonts w:hint="eastAsia"/>
                <w:b/>
                <w:color w:val="000000" w:themeColor="text1"/>
                <w:sz w:val="24"/>
                <w:highlight w:val="none"/>
              </w:rPr>
              <w:t xml:space="preserve">（如有要求）</w:t>
            </w:r>
            <w:r>
              <w:rPr>
                <w:rFonts w:hint="eastAsia"/>
                <w:b/>
                <w:color w:val="000000" w:themeColor="text1"/>
                <w:sz w:val="24"/>
                <w:highlight w:val="none"/>
              </w:rPr>
            </w:r>
            <w:r>
              <w:rPr>
                <w:color w:val="000000" w:themeColor="text1"/>
                <w:highlight w:val="none"/>
              </w:rPr>
            </w:r>
          </w:p>
        </w:tc>
        <w:tc>
          <w:tcPr>
            <w:tcW w:w="992"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备注</w:t>
            </w:r>
            <w:r>
              <w:rPr>
                <w:rFonts w:hint="eastAsia"/>
                <w:b/>
                <w:color w:val="000000" w:themeColor="text1"/>
                <w:sz w:val="24"/>
                <w:highlight w:val="none"/>
              </w:rPr>
            </w:r>
            <w:r>
              <w:rPr>
                <w:color w:val="000000" w:themeColor="text1"/>
                <w:highlight w:val="none"/>
              </w:rP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t xml:space="preserve">……</w:t>
            </w: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83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61"/>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6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61"/>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rPr>
          <w:rFonts w:ascii="宋体" w:hAnsi="宋体"/>
          <w:bCs/>
          <w:color w:val="000000" w:themeColor="text1"/>
          <w:highlight w:val="none"/>
        </w:rPr>
      </w:r>
      <w:r>
        <w:rPr>
          <w:color w:val="000000" w:themeColor="text1"/>
          <w:highlight w:val="none"/>
        </w:rPr>
      </w:r>
    </w:p>
    <w:p>
      <w:pPr>
        <w:pStyle w:val="861"/>
        <w:rPr>
          <w:rFonts w:hint="eastAsia"/>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rPr>
        <w:t xml:space="preserve"> 上表内容须提供投标人近一年中任意一个月份(不含投标当月)经社保部门确认的社保缴纳名单复印件</w:t>
      </w:r>
      <w:r>
        <w:rPr>
          <w:rFonts w:hint="eastAsia" w:ascii="宋体" w:hAnsi="宋体"/>
          <w:bCs/>
          <w:color w:val="000000" w:themeColor="text1"/>
          <w:highlight w:val="none"/>
        </w:rPr>
        <w:t xml:space="preserve">；</w:t>
      </w:r>
      <w:r>
        <w:rPr>
          <w:rFonts w:hint="eastAsia"/>
          <w:color w:val="000000" w:themeColor="text1"/>
          <w:highlight w:val="none"/>
        </w:rPr>
      </w:r>
      <w:r>
        <w:rPr>
          <w:color w:val="000000" w:themeColor="text1"/>
          <w:highlight w:val="none"/>
        </w:rP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rPr>
          <w:rFonts w:hint="eastAsia" w:ascii="宋体" w:hAnsi="宋体"/>
          <w:bCs/>
          <w:color w:val="000000" w:themeColor="text1"/>
          <w:highlight w:val="none"/>
        </w:rPr>
      </w:r>
      <w:r>
        <w:rPr>
          <w:color w:val="000000" w:themeColor="text1"/>
          <w:highlight w:val="none"/>
        </w:rP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rPr>
          <w:rFonts w:hint="eastAsia" w:ascii="宋体" w:hAnsi="宋体"/>
          <w:bCs/>
          <w:color w:val="000000" w:themeColor="text1"/>
          <w:highlight w:val="none"/>
        </w:rPr>
      </w:r>
      <w:r>
        <w:rPr>
          <w:color w:val="000000" w:themeColor="text1"/>
          <w:highlight w:val="none"/>
        </w:rP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33"/>
        <w:rFonts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７２</w:t>
    </w:r>
    <w:r>
      <w:rPr>
        <w:rFonts w:ascii="宋体" w:hAnsi="宋体"/>
      </w:rPr>
      <w:fldChar w:fldCharType="end"/>
    </w:r>
    <w:r>
      <w:rPr>
        <w:rStyle w:val="933"/>
        <w:rFonts w:ascii="宋体" w:hAnsi="宋体"/>
      </w:rPr>
    </w:r>
    <w:r/>
  </w:p>
  <w:p>
    <w:pPr>
      <w:pStyle w:val="90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rPr>
        <w:rStyle w:val="933"/>
      </w:rPr>
    </w:r>
    <w:r/>
  </w:p>
  <w:p>
    <w:pPr>
      <w:pStyle w:val="9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1"/>
      <w:lang w:val="en-US" w:eastAsia="zh-CN" w:bidi="ar-SA"/>
    </w:rPr>
  </w:style>
  <w:style w:type="paragraph" w:styleId="862">
    <w:name w:val="标题 1"/>
    <w:basedOn w:val="861"/>
    <w:next w:val="861"/>
    <w:link w:val="873"/>
    <w:qFormat/>
    <w:pPr>
      <w:jc w:val="center"/>
      <w:keepNext/>
      <w:outlineLvl w:val="0"/>
    </w:pPr>
    <w:rPr>
      <w:rFonts w:ascii="楷体_GB2312" w:eastAsia="楷体_GB2312"/>
      <w:sz w:val="28"/>
      <w:szCs w:val="28"/>
    </w:rPr>
  </w:style>
  <w:style w:type="paragraph" w:styleId="863">
    <w:name w:val="标题 2"/>
    <w:basedOn w:val="861"/>
    <w:next w:val="875"/>
    <w:link w:val="874"/>
    <w:qFormat/>
    <w:pPr>
      <w:jc w:val="center"/>
      <w:keepLines/>
      <w:keepNext/>
      <w:spacing w:before="260" w:after="260" w:line="416" w:lineRule="auto"/>
      <w:outlineLvl w:val="1"/>
    </w:pPr>
    <w:rPr>
      <w:rFonts w:ascii="Arial" w:hAnsi="Arial" w:eastAsia="幼圆"/>
      <w:b/>
      <w:bCs/>
      <w:sz w:val="44"/>
      <w:szCs w:val="44"/>
    </w:rPr>
  </w:style>
  <w:style w:type="paragraph" w:styleId="864">
    <w:name w:val="标题 3"/>
    <w:basedOn w:val="861"/>
    <w:next w:val="875"/>
    <w:link w:val="877"/>
    <w:qFormat/>
    <w:pPr>
      <w:keepLines/>
      <w:keepNext/>
      <w:spacing w:before="260" w:after="260" w:line="416" w:lineRule="auto"/>
      <w:outlineLvl w:val="2"/>
    </w:pPr>
    <w:rPr>
      <w:b/>
      <w:bCs/>
      <w:sz w:val="32"/>
      <w:szCs w:val="32"/>
    </w:rPr>
  </w:style>
  <w:style w:type="paragraph" w:styleId="865">
    <w:name w:val="标题 4"/>
    <w:basedOn w:val="861"/>
    <w:next w:val="875"/>
    <w:link w:val="878"/>
    <w:qFormat/>
    <w:pPr>
      <w:keepLines/>
      <w:keepNext/>
      <w:spacing w:before="280" w:after="290" w:line="376" w:lineRule="auto"/>
      <w:outlineLvl w:val="3"/>
    </w:pPr>
    <w:rPr>
      <w:rFonts w:ascii="Arial" w:hAnsi="Arial" w:eastAsia="黑体"/>
      <w:b/>
      <w:bCs/>
      <w:sz w:val="28"/>
      <w:szCs w:val="28"/>
    </w:rPr>
  </w:style>
  <w:style w:type="paragraph" w:styleId="866">
    <w:name w:val="标题 5"/>
    <w:basedOn w:val="861"/>
    <w:next w:val="875"/>
    <w:link w:val="879"/>
    <w:qFormat/>
    <w:pPr>
      <w:keepNext/>
      <w:outlineLvl w:val="4"/>
    </w:pPr>
    <w:rPr>
      <w:rFonts w:ascii="宋体"/>
      <w:color w:val="000000"/>
      <w:sz w:val="28"/>
      <w:szCs w:val="28"/>
    </w:rPr>
  </w:style>
  <w:style w:type="paragraph" w:styleId="867">
    <w:name w:val="标题 6"/>
    <w:basedOn w:val="861"/>
    <w:next w:val="861"/>
    <w:link w:val="880"/>
    <w:qFormat/>
    <w:pPr>
      <w:numPr>
        <w:ilvl w:val="5"/>
        <w:numId w:val="0"/>
      </w:numPr>
      <w:keepLines/>
      <w:keepNext/>
      <w:spacing w:before="240" w:after="64" w:line="320" w:lineRule="auto"/>
      <w:outlineLvl w:val="5"/>
    </w:pPr>
    <w:rPr>
      <w:rFonts w:ascii="Arial" w:hAnsi="Arial" w:eastAsia="黑体"/>
      <w:b/>
      <w:bCs/>
      <w:sz w:val="24"/>
      <w:szCs w:val="24"/>
    </w:rPr>
  </w:style>
  <w:style w:type="paragraph" w:styleId="868">
    <w:name w:val="标题 7"/>
    <w:basedOn w:val="861"/>
    <w:next w:val="861"/>
    <w:link w:val="881"/>
    <w:qFormat/>
    <w:pPr>
      <w:numPr>
        <w:ilvl w:val="6"/>
        <w:numId w:val="0"/>
      </w:numPr>
      <w:keepLines/>
      <w:keepNext/>
      <w:spacing w:before="240" w:after="64" w:line="320" w:lineRule="auto"/>
      <w:outlineLvl w:val="6"/>
    </w:pPr>
    <w:rPr>
      <w:b/>
      <w:bCs/>
      <w:sz w:val="24"/>
      <w:szCs w:val="24"/>
    </w:rPr>
  </w:style>
  <w:style w:type="paragraph" w:styleId="869">
    <w:name w:val="标题 8"/>
    <w:basedOn w:val="861"/>
    <w:next w:val="861"/>
    <w:link w:val="882"/>
    <w:qFormat/>
    <w:pPr>
      <w:numPr>
        <w:ilvl w:val="7"/>
        <w:numId w:val="0"/>
      </w:numPr>
      <w:keepLines/>
      <w:keepNext/>
      <w:spacing w:before="240" w:after="64" w:line="320" w:lineRule="auto"/>
      <w:outlineLvl w:val="7"/>
    </w:pPr>
    <w:rPr>
      <w:rFonts w:ascii="Arial" w:hAnsi="Arial" w:eastAsia="黑体"/>
      <w:sz w:val="24"/>
      <w:szCs w:val="24"/>
    </w:rPr>
  </w:style>
  <w:style w:type="paragraph" w:styleId="870">
    <w:name w:val="标题 9"/>
    <w:basedOn w:val="861"/>
    <w:next w:val="861"/>
    <w:link w:val="883"/>
    <w:qFormat/>
    <w:pPr>
      <w:numPr>
        <w:ilvl w:val="8"/>
        <w:numId w:val="0"/>
      </w:numPr>
      <w:keepLines/>
      <w:keepNext/>
      <w:spacing w:before="240" w:after="64" w:line="320" w:lineRule="auto"/>
      <w:outlineLvl w:val="8"/>
    </w:pPr>
    <w:rPr>
      <w:rFonts w:ascii="Arial" w:hAnsi="Arial" w:eastAsia="黑体"/>
      <w:sz w:val="20"/>
    </w:rPr>
  </w:style>
  <w:style w:type="character" w:styleId="871">
    <w:name w:val="默认段落字体"/>
    <w:next w:val="871"/>
    <w:link w:val="861"/>
    <w:uiPriority w:val="1"/>
    <w:unhideWhenUsed/>
  </w:style>
  <w:style w:type="table" w:styleId="872">
    <w:name w:val="普通表格"/>
    <w:next w:val="872"/>
    <w:link w:val="861"/>
    <w:uiPriority w:val="99"/>
    <w:unhideWhenUsed/>
    <w:tblPr/>
  </w:style>
  <w:style w:type="character" w:styleId="873">
    <w:name w:val="标题 1 Char"/>
    <w:next w:val="873"/>
    <w:link w:val="862"/>
    <w:rPr>
      <w:rFonts w:ascii="楷体_GB2312" w:hAnsi="Times New Roman" w:eastAsia="楷体_GB2312" w:cs="Times New Roman"/>
      <w:sz w:val="28"/>
      <w:szCs w:val="28"/>
    </w:rPr>
  </w:style>
  <w:style w:type="character" w:styleId="874">
    <w:name w:val="标题 2 Char"/>
    <w:next w:val="874"/>
    <w:link w:val="863"/>
    <w:rPr>
      <w:rFonts w:ascii="Arial" w:hAnsi="Arial" w:eastAsia="幼圆" w:cs="Arial"/>
      <w:b/>
      <w:bCs/>
      <w:sz w:val="44"/>
      <w:szCs w:val="44"/>
    </w:rPr>
  </w:style>
  <w:style w:type="paragraph" w:styleId="875">
    <w:name w:val="正文缩进"/>
    <w:basedOn w:val="861"/>
    <w:next w:val="875"/>
    <w:link w:val="876"/>
    <w:pPr>
      <w:ind w:firstLine="420"/>
    </w:pPr>
    <w:rPr>
      <w:sz w:val="20"/>
    </w:rPr>
  </w:style>
  <w:style w:type="character" w:styleId="876">
    <w:name w:val="正文缩进 Char"/>
    <w:next w:val="876"/>
    <w:link w:val="875"/>
    <w:rPr>
      <w:rFonts w:ascii="Times New Roman" w:hAnsi="Times New Roman" w:eastAsia="宋体" w:cs="Times New Roman"/>
      <w:szCs w:val="21"/>
    </w:rPr>
  </w:style>
  <w:style w:type="character" w:styleId="877">
    <w:name w:val="标题 3 Char"/>
    <w:next w:val="877"/>
    <w:link w:val="864"/>
    <w:rPr>
      <w:rFonts w:ascii="Times New Roman" w:hAnsi="Times New Roman" w:eastAsia="宋体" w:cs="Times New Roman"/>
      <w:b/>
      <w:bCs/>
      <w:sz w:val="32"/>
      <w:szCs w:val="32"/>
    </w:rPr>
  </w:style>
  <w:style w:type="character" w:styleId="878">
    <w:name w:val="标题 4 Char"/>
    <w:next w:val="878"/>
    <w:link w:val="865"/>
    <w:rPr>
      <w:rFonts w:ascii="Arial" w:hAnsi="Arial" w:eastAsia="黑体" w:cs="Arial"/>
      <w:b/>
      <w:bCs/>
      <w:sz w:val="28"/>
      <w:szCs w:val="28"/>
    </w:rPr>
  </w:style>
  <w:style w:type="character" w:styleId="879">
    <w:name w:val="标题 5 Char"/>
    <w:next w:val="879"/>
    <w:link w:val="866"/>
    <w:rPr>
      <w:rFonts w:ascii="宋体" w:hAnsi="Times New Roman" w:eastAsia="宋体" w:cs="Times New Roman"/>
      <w:color w:val="000000"/>
      <w:sz w:val="28"/>
      <w:szCs w:val="28"/>
    </w:rPr>
  </w:style>
  <w:style w:type="character" w:styleId="880">
    <w:name w:val="标题 6 Char"/>
    <w:next w:val="880"/>
    <w:link w:val="867"/>
    <w:rPr>
      <w:rFonts w:ascii="Arial" w:hAnsi="Arial" w:eastAsia="黑体" w:cs="Times New Roman"/>
      <w:b/>
      <w:bCs/>
      <w:sz w:val="24"/>
      <w:szCs w:val="24"/>
    </w:rPr>
  </w:style>
  <w:style w:type="character" w:styleId="881">
    <w:name w:val="标题 7 Char"/>
    <w:next w:val="881"/>
    <w:link w:val="868"/>
    <w:rPr>
      <w:rFonts w:ascii="Times New Roman" w:hAnsi="Times New Roman" w:eastAsia="宋体" w:cs="Times New Roman"/>
      <w:b/>
      <w:bCs/>
      <w:sz w:val="24"/>
      <w:szCs w:val="24"/>
    </w:rPr>
  </w:style>
  <w:style w:type="character" w:styleId="882">
    <w:name w:val="标题 8 Char"/>
    <w:next w:val="882"/>
    <w:link w:val="869"/>
    <w:rPr>
      <w:rFonts w:ascii="Arial" w:hAnsi="Arial" w:eastAsia="黑体" w:cs="Times New Roman"/>
      <w:sz w:val="24"/>
      <w:szCs w:val="24"/>
    </w:rPr>
  </w:style>
  <w:style w:type="character" w:styleId="883">
    <w:name w:val="标题 9 Char"/>
    <w:next w:val="883"/>
    <w:link w:val="870"/>
    <w:rPr>
      <w:rFonts w:ascii="Arial" w:hAnsi="Arial" w:eastAsia="黑体" w:cs="Times New Roman"/>
      <w:szCs w:val="21"/>
    </w:rPr>
  </w:style>
  <w:style w:type="paragraph" w:styleId="884">
    <w:name w:val="列表 3"/>
    <w:basedOn w:val="861"/>
    <w:next w:val="884"/>
    <w:link w:val="861"/>
    <w:pPr>
      <w:ind w:left="100" w:hanging="200"/>
    </w:pPr>
  </w:style>
  <w:style w:type="paragraph" w:styleId="885">
    <w:name w:val="目录 7"/>
    <w:basedOn w:val="861"/>
    <w:next w:val="861"/>
    <w:link w:val="861"/>
    <w:semiHidden/>
    <w:pPr>
      <w:ind w:left="1260"/>
      <w:jc w:val="left"/>
    </w:pPr>
  </w:style>
  <w:style w:type="paragraph" w:styleId="886">
    <w:name w:val="文档结构图"/>
    <w:basedOn w:val="861"/>
    <w:next w:val="886"/>
    <w:link w:val="887"/>
    <w:semiHidden/>
    <w:pPr>
      <w:shd w:val="clear" w:color="auto" w:fill="000080"/>
    </w:pPr>
    <w:rPr>
      <w:sz w:val="20"/>
    </w:rPr>
  </w:style>
  <w:style w:type="character" w:styleId="887">
    <w:name w:val="文档结构图 Char"/>
    <w:next w:val="887"/>
    <w:link w:val="886"/>
    <w:semiHidden/>
    <w:rPr>
      <w:rFonts w:ascii="Times New Roman" w:hAnsi="Times New Roman" w:eastAsia="宋体" w:cs="Times New Roman"/>
      <w:szCs w:val="21"/>
      <w:shd w:val="clear" w:color="auto" w:fill="000080"/>
    </w:rPr>
  </w:style>
  <w:style w:type="paragraph" w:styleId="888">
    <w:name w:val="批注文字"/>
    <w:basedOn w:val="861"/>
    <w:next w:val="888"/>
    <w:link w:val="889"/>
    <w:semiHidden/>
    <w:qFormat/>
    <w:pPr>
      <w:jc w:val="left"/>
    </w:pPr>
    <w:rPr>
      <w:sz w:val="20"/>
    </w:rPr>
  </w:style>
  <w:style w:type="character" w:styleId="889">
    <w:name w:val="批注文字 Char"/>
    <w:next w:val="889"/>
    <w:link w:val="888"/>
    <w:semiHidden/>
    <w:qFormat/>
    <w:rPr>
      <w:rFonts w:ascii="Times New Roman" w:hAnsi="Times New Roman" w:eastAsia="宋体" w:cs="Times New Roman"/>
      <w:szCs w:val="21"/>
    </w:rPr>
  </w:style>
  <w:style w:type="paragraph" w:styleId="890">
    <w:name w:val="正文文本 3"/>
    <w:basedOn w:val="861"/>
    <w:next w:val="890"/>
    <w:link w:val="891"/>
    <w:rPr>
      <w:rFonts w:ascii="仿宋_GB2312" w:hAnsi="Arial" w:eastAsia="仿宋_GB2312"/>
      <w:sz w:val="32"/>
      <w:szCs w:val="32"/>
    </w:rPr>
  </w:style>
  <w:style w:type="character" w:styleId="891">
    <w:name w:val="正文文本 3 Char"/>
    <w:next w:val="891"/>
    <w:link w:val="890"/>
    <w:rPr>
      <w:rFonts w:ascii="仿宋_GB2312" w:hAnsi="Arial" w:eastAsia="仿宋_GB2312" w:cs="Times New Roman"/>
      <w:sz w:val="32"/>
      <w:szCs w:val="32"/>
    </w:rPr>
  </w:style>
  <w:style w:type="paragraph" w:styleId="892">
    <w:name w:val="正文文本"/>
    <w:basedOn w:val="861"/>
    <w:next w:val="892"/>
    <w:link w:val="893"/>
    <w:rPr>
      <w:rFonts w:ascii="楷体_GB2312" w:hAnsi="Arial" w:eastAsia="楷体_GB2312"/>
      <w:sz w:val="28"/>
      <w:szCs w:val="28"/>
    </w:rPr>
  </w:style>
  <w:style w:type="character" w:styleId="893">
    <w:name w:val="正文文本 Char"/>
    <w:next w:val="893"/>
    <w:link w:val="892"/>
    <w:rPr>
      <w:rFonts w:ascii="楷体_GB2312" w:hAnsi="Arial" w:eastAsia="楷体_GB2312" w:cs="Times New Roman"/>
      <w:sz w:val="28"/>
      <w:szCs w:val="28"/>
    </w:rPr>
  </w:style>
  <w:style w:type="paragraph" w:styleId="894">
    <w:name w:val="正文文本缩进"/>
    <w:basedOn w:val="861"/>
    <w:next w:val="894"/>
    <w:link w:val="895"/>
    <w:pPr>
      <w:ind w:firstLine="645"/>
    </w:pPr>
    <w:rPr>
      <w:rFonts w:ascii="楷体_GB2312" w:eastAsia="楷体_GB2312"/>
      <w:sz w:val="32"/>
      <w:szCs w:val="32"/>
    </w:rPr>
  </w:style>
  <w:style w:type="character" w:styleId="895">
    <w:name w:val="正文文本缩进 Char"/>
    <w:next w:val="895"/>
    <w:link w:val="894"/>
    <w:rPr>
      <w:rFonts w:ascii="楷体_GB2312" w:hAnsi="Times New Roman" w:eastAsia="楷体_GB2312" w:cs="Times New Roman"/>
      <w:sz w:val="32"/>
      <w:szCs w:val="32"/>
    </w:rPr>
  </w:style>
  <w:style w:type="paragraph" w:styleId="896">
    <w:name w:val="列表 2"/>
    <w:basedOn w:val="861"/>
    <w:next w:val="896"/>
    <w:link w:val="861"/>
    <w:pPr>
      <w:ind w:left="100" w:hanging="200"/>
    </w:pPr>
  </w:style>
  <w:style w:type="paragraph" w:styleId="897">
    <w:name w:val="目录 5"/>
    <w:basedOn w:val="861"/>
    <w:next w:val="861"/>
    <w:link w:val="861"/>
    <w:semiHidden/>
    <w:pPr>
      <w:ind w:left="840"/>
      <w:jc w:val="left"/>
    </w:pPr>
  </w:style>
  <w:style w:type="paragraph" w:styleId="898">
    <w:name w:val="目录 3"/>
    <w:basedOn w:val="861"/>
    <w:next w:val="861"/>
    <w:link w:val="861"/>
    <w:semiHidden/>
    <w:pPr>
      <w:ind w:left="420"/>
      <w:jc w:val="left"/>
    </w:pPr>
    <w:rPr>
      <w:i/>
      <w:iCs/>
      <w:szCs w:val="24"/>
    </w:rPr>
  </w:style>
  <w:style w:type="paragraph" w:styleId="899">
    <w:name w:val="纯文本"/>
    <w:basedOn w:val="861"/>
    <w:next w:val="899"/>
    <w:link w:val="900"/>
    <w:rPr>
      <w:rFonts w:ascii="宋体" w:hAnsi="Courier New"/>
      <w:sz w:val="20"/>
    </w:rPr>
  </w:style>
  <w:style w:type="character" w:styleId="900">
    <w:name w:val="纯文本 Char"/>
    <w:next w:val="900"/>
    <w:link w:val="899"/>
    <w:rPr>
      <w:rFonts w:ascii="宋体" w:hAnsi="Courier New" w:eastAsia="宋体" w:cs="Courier New"/>
      <w:szCs w:val="21"/>
    </w:rPr>
  </w:style>
  <w:style w:type="paragraph" w:styleId="901">
    <w:name w:val="目录 8"/>
    <w:basedOn w:val="861"/>
    <w:next w:val="861"/>
    <w:link w:val="861"/>
    <w:semiHidden/>
    <w:pPr>
      <w:ind w:left="1470"/>
      <w:jc w:val="left"/>
    </w:pPr>
  </w:style>
  <w:style w:type="paragraph" w:styleId="902">
    <w:name w:val="日期"/>
    <w:basedOn w:val="861"/>
    <w:next w:val="861"/>
    <w:link w:val="903"/>
    <w:rPr>
      <w:sz w:val="24"/>
      <w:szCs w:val="24"/>
    </w:rPr>
  </w:style>
  <w:style w:type="character" w:styleId="903">
    <w:name w:val="日期 Char"/>
    <w:next w:val="903"/>
    <w:link w:val="902"/>
    <w:rPr>
      <w:rFonts w:ascii="Times New Roman" w:hAnsi="Times New Roman" w:eastAsia="宋体" w:cs="Times New Roman"/>
      <w:sz w:val="24"/>
      <w:szCs w:val="24"/>
    </w:rPr>
  </w:style>
  <w:style w:type="paragraph" w:styleId="904">
    <w:name w:val="正文文本缩进 2"/>
    <w:basedOn w:val="861"/>
    <w:next w:val="904"/>
    <w:link w:val="905"/>
    <w:pPr>
      <w:ind w:left="630" w:firstLine="645"/>
    </w:pPr>
    <w:rPr>
      <w:rFonts w:ascii="Arial" w:hAnsi="Arial" w:eastAsia="仿宋_GB2312"/>
      <w:sz w:val="32"/>
      <w:szCs w:val="32"/>
    </w:rPr>
  </w:style>
  <w:style w:type="character" w:styleId="905">
    <w:name w:val="正文文本缩进 2 Char"/>
    <w:next w:val="905"/>
    <w:link w:val="904"/>
    <w:rPr>
      <w:rFonts w:ascii="Arial" w:hAnsi="Arial" w:eastAsia="仿宋_GB2312" w:cs="Arial"/>
      <w:sz w:val="32"/>
      <w:szCs w:val="32"/>
    </w:rPr>
  </w:style>
  <w:style w:type="paragraph" w:styleId="906">
    <w:name w:val="批注框文本"/>
    <w:basedOn w:val="861"/>
    <w:next w:val="906"/>
    <w:link w:val="907"/>
    <w:semiHidden/>
    <w:rPr>
      <w:sz w:val="18"/>
      <w:szCs w:val="18"/>
    </w:rPr>
  </w:style>
  <w:style w:type="character" w:styleId="907">
    <w:name w:val="批注框文本 Char"/>
    <w:next w:val="907"/>
    <w:link w:val="906"/>
    <w:semiHidden/>
    <w:rPr>
      <w:rFonts w:ascii="Times New Roman" w:hAnsi="Times New Roman" w:eastAsia="宋体" w:cs="Times New Roman"/>
      <w:sz w:val="18"/>
      <w:szCs w:val="18"/>
    </w:rPr>
  </w:style>
  <w:style w:type="paragraph" w:styleId="908">
    <w:name w:val="页脚"/>
    <w:basedOn w:val="861"/>
    <w:next w:val="908"/>
    <w:link w:val="909"/>
    <w:pPr>
      <w:jc w:val="left"/>
      <w:tabs>
        <w:tab w:val="center" w:pos="4153" w:leader="none"/>
        <w:tab w:val="right" w:pos="8306" w:leader="none"/>
      </w:tabs>
    </w:pPr>
    <w:rPr>
      <w:sz w:val="18"/>
      <w:szCs w:val="18"/>
    </w:rPr>
  </w:style>
  <w:style w:type="character" w:styleId="909">
    <w:name w:val="页脚 Char"/>
    <w:next w:val="909"/>
    <w:link w:val="908"/>
    <w:rPr>
      <w:rFonts w:ascii="Times New Roman" w:hAnsi="Times New Roman" w:eastAsia="宋体" w:cs="Times New Roman"/>
      <w:sz w:val="18"/>
      <w:szCs w:val="18"/>
    </w:rPr>
  </w:style>
  <w:style w:type="paragraph" w:styleId="910">
    <w:name w:val="页眉"/>
    <w:basedOn w:val="861"/>
    <w:next w:val="910"/>
    <w:link w:val="911"/>
    <w:uiPriority w:val="99"/>
    <w:qFormat/>
    <w:pPr>
      <w:jc w:val="center"/>
      <w:tabs>
        <w:tab w:val="center" w:pos="4153" w:leader="none"/>
        <w:tab w:val="right" w:pos="8306" w:leader="none"/>
      </w:tabs>
      <w:pBdr>
        <w:bottom w:val="single" w:color="000000" w:sz="6" w:space="1"/>
      </w:pBdr>
    </w:pPr>
    <w:rPr>
      <w:sz w:val="18"/>
      <w:szCs w:val="18"/>
    </w:rPr>
  </w:style>
  <w:style w:type="character" w:styleId="911">
    <w:name w:val="页眉 Char"/>
    <w:next w:val="911"/>
    <w:link w:val="910"/>
    <w:uiPriority w:val="99"/>
    <w:qFormat/>
    <w:rPr>
      <w:rFonts w:ascii="Times New Roman" w:hAnsi="Times New Roman" w:eastAsia="宋体" w:cs="Times New Roman"/>
      <w:sz w:val="18"/>
      <w:szCs w:val="18"/>
    </w:rPr>
  </w:style>
  <w:style w:type="paragraph" w:styleId="912">
    <w:name w:val="目录 1"/>
    <w:basedOn w:val="861"/>
    <w:next w:val="861"/>
    <w:link w:val="861"/>
    <w:semiHidden/>
    <w:pPr>
      <w:jc w:val="left"/>
      <w:spacing w:before="120" w:after="120" w:line="400" w:lineRule="exact"/>
      <w:tabs>
        <w:tab w:val="right" w:pos="8720" w:leader="dot"/>
      </w:tabs>
    </w:pPr>
    <w:rPr>
      <w:rFonts w:ascii="宋体" w:hAnsi="宋体"/>
      <w:caps/>
      <w:sz w:val="24"/>
      <w:szCs w:val="24"/>
    </w:rPr>
  </w:style>
  <w:style w:type="paragraph" w:styleId="913">
    <w:name w:val="目录 4"/>
    <w:basedOn w:val="861"/>
    <w:next w:val="861"/>
    <w:link w:val="861"/>
    <w:semiHidden/>
    <w:pPr>
      <w:ind w:left="630"/>
      <w:jc w:val="left"/>
    </w:pPr>
  </w:style>
  <w:style w:type="paragraph" w:styleId="914">
    <w:name w:val="列表"/>
    <w:basedOn w:val="861"/>
    <w:next w:val="914"/>
    <w:link w:val="861"/>
    <w:pPr>
      <w:ind w:left="200" w:hanging="200"/>
    </w:pPr>
  </w:style>
  <w:style w:type="paragraph" w:styleId="915">
    <w:name w:val="目录 6"/>
    <w:basedOn w:val="861"/>
    <w:next w:val="861"/>
    <w:link w:val="861"/>
    <w:semiHidden/>
    <w:pPr>
      <w:ind w:left="1050"/>
      <w:jc w:val="left"/>
    </w:pPr>
  </w:style>
  <w:style w:type="paragraph" w:styleId="916">
    <w:name w:val="正文文本缩进 3"/>
    <w:basedOn w:val="861"/>
    <w:next w:val="916"/>
    <w:link w:val="917"/>
    <w:pPr>
      <w:ind w:left="645" w:firstLine="645"/>
    </w:pPr>
    <w:rPr>
      <w:rFonts w:ascii="Arial" w:hAnsi="Arial" w:eastAsia="仿宋_GB2312"/>
      <w:color w:val="ffff00"/>
      <w:sz w:val="32"/>
      <w:szCs w:val="32"/>
    </w:rPr>
  </w:style>
  <w:style w:type="character" w:styleId="917">
    <w:name w:val="正文文本缩进 3 Char"/>
    <w:next w:val="917"/>
    <w:link w:val="916"/>
    <w:rPr>
      <w:rFonts w:ascii="Arial" w:hAnsi="Arial" w:eastAsia="仿宋_GB2312" w:cs="Arial"/>
      <w:color w:val="ffff00"/>
      <w:sz w:val="32"/>
      <w:szCs w:val="32"/>
    </w:rPr>
  </w:style>
  <w:style w:type="paragraph" w:styleId="918">
    <w:name w:val="图表目录"/>
    <w:basedOn w:val="861"/>
    <w:next w:val="861"/>
    <w:link w:val="861"/>
    <w:semiHidden/>
    <w:pPr>
      <w:ind w:left="840" w:hanging="420"/>
    </w:pPr>
  </w:style>
  <w:style w:type="paragraph" w:styleId="919">
    <w:name w:val="目录 2"/>
    <w:basedOn w:val="861"/>
    <w:next w:val="861"/>
    <w:link w:val="861"/>
    <w:semiHidden/>
    <w:pPr>
      <w:ind w:left="210"/>
      <w:jc w:val="left"/>
    </w:pPr>
    <w:rPr>
      <w:smallCaps/>
      <w:szCs w:val="24"/>
    </w:rPr>
  </w:style>
  <w:style w:type="paragraph" w:styleId="920">
    <w:name w:val="目录 9"/>
    <w:basedOn w:val="861"/>
    <w:next w:val="861"/>
    <w:link w:val="861"/>
    <w:semiHidden/>
    <w:pPr>
      <w:ind w:left="1680"/>
      <w:jc w:val="left"/>
    </w:pPr>
  </w:style>
  <w:style w:type="paragraph" w:styleId="921">
    <w:name w:val="正文文本 2"/>
    <w:basedOn w:val="861"/>
    <w:next w:val="921"/>
    <w:link w:val="922"/>
    <w:pPr>
      <w:jc w:val="center"/>
      <w:widowControl/>
    </w:pPr>
    <w:rPr>
      <w:rFonts w:ascii="楷体_GB2312" w:eastAsia="楷体_GB2312"/>
      <w:sz w:val="28"/>
      <w:szCs w:val="28"/>
    </w:rPr>
  </w:style>
  <w:style w:type="character" w:styleId="922">
    <w:name w:val="正文文本 2 Char"/>
    <w:next w:val="922"/>
    <w:link w:val="921"/>
    <w:rPr>
      <w:rFonts w:ascii="楷体_GB2312" w:hAnsi="Times New Roman" w:eastAsia="楷体_GB2312" w:cs="Times New Roman"/>
      <w:sz w:val="28"/>
      <w:szCs w:val="28"/>
    </w:rPr>
  </w:style>
  <w:style w:type="paragraph" w:styleId="923">
    <w:name w:val="普通(网站)"/>
    <w:basedOn w:val="861"/>
    <w:next w:val="923"/>
    <w:link w:val="861"/>
    <w:uiPriority w:val="99"/>
    <w:pPr>
      <w:jc w:val="left"/>
      <w:spacing w:before="100" w:beforeAutospacing="1" w:after="100" w:afterAutospacing="1"/>
      <w:widowControl/>
    </w:pPr>
    <w:rPr>
      <w:rFonts w:ascii="宋体" w:hAnsi="宋体" w:cs="宋体"/>
      <w:sz w:val="24"/>
      <w:szCs w:val="24"/>
    </w:rPr>
  </w:style>
  <w:style w:type="paragraph" w:styleId="924">
    <w:name w:val="索引 1"/>
    <w:basedOn w:val="861"/>
    <w:next w:val="861"/>
    <w:link w:val="861"/>
    <w:semiHidden/>
    <w:pPr>
      <w:spacing w:line="240" w:lineRule="atLeast"/>
    </w:pPr>
    <w:rPr>
      <w:b/>
      <w:bCs/>
    </w:rPr>
  </w:style>
  <w:style w:type="paragraph" w:styleId="925">
    <w:name w:val="批注主题"/>
    <w:basedOn w:val="888"/>
    <w:next w:val="888"/>
    <w:link w:val="926"/>
    <w:semiHidden/>
    <w:rPr>
      <w:b/>
      <w:bCs/>
    </w:rPr>
  </w:style>
  <w:style w:type="character" w:styleId="926">
    <w:name w:val="批注主题 Char"/>
    <w:next w:val="926"/>
    <w:link w:val="925"/>
    <w:semiHidden/>
    <w:rPr>
      <w:rFonts w:ascii="Times New Roman" w:hAnsi="Times New Roman" w:eastAsia="宋体" w:cs="Times New Roman"/>
      <w:b/>
      <w:bCs/>
      <w:szCs w:val="21"/>
    </w:rPr>
  </w:style>
  <w:style w:type="paragraph" w:styleId="927">
    <w:name w:val="正文首行缩进"/>
    <w:basedOn w:val="861"/>
    <w:next w:val="927"/>
    <w:link w:val="928"/>
    <w:pPr>
      <w:ind w:firstLine="200"/>
      <w:spacing w:line="360" w:lineRule="auto"/>
    </w:pPr>
    <w:rPr>
      <w:rFonts w:ascii="仿宋_GB2312" w:eastAsia="仿宋_GB2312"/>
      <w:sz w:val="30"/>
      <w:szCs w:val="30"/>
    </w:rPr>
  </w:style>
  <w:style w:type="character" w:styleId="928">
    <w:name w:val="正文首行缩进 Char"/>
    <w:next w:val="928"/>
    <w:link w:val="927"/>
    <w:rPr>
      <w:rFonts w:ascii="仿宋_GB2312" w:hAnsi="Times New Roman" w:eastAsia="仿宋_GB2312" w:cs="Times New Roman"/>
      <w:sz w:val="30"/>
      <w:szCs w:val="30"/>
    </w:rPr>
  </w:style>
  <w:style w:type="paragraph" w:styleId="929">
    <w:name w:val="正文首行缩进 2"/>
    <w:basedOn w:val="894"/>
    <w:next w:val="929"/>
    <w:link w:val="930"/>
    <w:pPr>
      <w:ind w:firstLine="420"/>
      <w:spacing w:line="360" w:lineRule="auto"/>
    </w:pPr>
    <w:rPr>
      <w:rFonts w:ascii="宋体" w:hAnsi="宋体" w:eastAsia="宋体"/>
      <w:szCs w:val="20"/>
    </w:rPr>
  </w:style>
  <w:style w:type="character" w:styleId="930">
    <w:name w:val="正文首行缩进 2 Char"/>
    <w:next w:val="930"/>
    <w:link w:val="929"/>
    <w:rPr>
      <w:rFonts w:ascii="宋体" w:hAnsi="宋体" w:eastAsia="宋体" w:cs="Times New Roman"/>
      <w:sz w:val="32"/>
      <w:szCs w:val="20"/>
    </w:rPr>
  </w:style>
  <w:style w:type="table" w:styleId="931">
    <w:name w:val="网格型"/>
    <w:basedOn w:val="872"/>
    <w:next w:val="931"/>
    <w:link w:val="861"/>
    <w:pPr>
      <w:jc w:val="both"/>
      <w:widowControl w:val="off"/>
    </w:pPr>
    <w:rPr>
      <w:rFonts w:ascii="Times New Roman" w:hAnsi="Times New Roman" w:eastAsia="宋体" w:cs="Times New Roman"/>
      <w:sz w:val="20"/>
      <w:szCs w:val="20"/>
    </w:rPr>
    <w:tblPr/>
  </w:style>
  <w:style w:type="character" w:styleId="932">
    <w:name w:val="要点"/>
    <w:next w:val="932"/>
    <w:link w:val="861"/>
    <w:qFormat/>
    <w:rPr>
      <w:b/>
      <w:bCs/>
    </w:rPr>
  </w:style>
  <w:style w:type="character" w:styleId="933">
    <w:name w:val="页码"/>
    <w:next w:val="933"/>
    <w:link w:val="861"/>
  </w:style>
  <w:style w:type="character" w:styleId="934">
    <w:name w:val="已访问的超链接"/>
    <w:next w:val="934"/>
    <w:link w:val="861"/>
    <w:rPr>
      <w:color w:val="800080"/>
      <w:u w:val="single"/>
    </w:rPr>
  </w:style>
  <w:style w:type="character" w:styleId="935">
    <w:name w:val="HTML 打字机"/>
    <w:next w:val="935"/>
    <w:link w:val="861"/>
    <w:uiPriority w:val="99"/>
    <w:rPr>
      <w:rFonts w:ascii="宋体" w:hAnsi="宋体" w:eastAsia="宋体" w:cs="宋体"/>
      <w:sz w:val="24"/>
      <w:szCs w:val="24"/>
    </w:rPr>
  </w:style>
  <w:style w:type="character" w:styleId="936">
    <w:name w:val="超链接"/>
    <w:next w:val="936"/>
    <w:link w:val="861"/>
    <w:rPr>
      <w:color w:val="0000ff"/>
      <w:u w:val="single"/>
    </w:rPr>
  </w:style>
  <w:style w:type="character" w:styleId="937">
    <w:name w:val="批注引用"/>
    <w:next w:val="937"/>
    <w:link w:val="861"/>
    <w:semiHidden/>
    <w:rPr>
      <w:sz w:val="21"/>
      <w:szCs w:val="21"/>
    </w:rPr>
  </w:style>
  <w:style w:type="character" w:styleId="938">
    <w:name w:val="font5 Char"/>
    <w:next w:val="938"/>
    <w:link w:val="861"/>
    <w:rPr>
      <w:rFonts w:ascii="宋体" w:hAnsi="宋体" w:eastAsia="宋体"/>
      <w:sz w:val="28"/>
      <w:szCs w:val="28"/>
      <w:lang w:val="en-US" w:eastAsia="zh-CN" w:bidi="ar-SA"/>
    </w:rPr>
  </w:style>
  <w:style w:type="character" w:styleId="939">
    <w:name w:val="二级目录 Char"/>
    <w:next w:val="939"/>
    <w:link w:val="940"/>
    <w:rPr>
      <w:b/>
      <w:sz w:val="30"/>
      <w:szCs w:val="28"/>
      <w:lang w:val="en-US" w:eastAsia="zh-CN" w:bidi="ar-SA"/>
    </w:rPr>
  </w:style>
  <w:style w:type="paragraph" w:styleId="940">
    <w:name w:val="二级目录"/>
    <w:next w:val="861"/>
    <w:link w:val="939"/>
    <w:pPr>
      <w:numPr>
        <w:ilvl w:val="0"/>
        <w:numId w:val="0"/>
      </w:numPr>
      <w:tabs>
        <w:tab w:val="left" w:pos="907" w:leader="none"/>
        <w:tab w:val="left" w:pos="1145" w:leader="none"/>
      </w:tabs>
      <w:outlineLvl w:val="1"/>
    </w:pPr>
    <w:rPr>
      <w:b/>
      <w:sz w:val="30"/>
      <w:szCs w:val="28"/>
      <w:lang w:val="en-US" w:eastAsia="zh-CN" w:bidi="ar-SA"/>
    </w:rPr>
  </w:style>
  <w:style w:type="character" w:styleId="941">
    <w:name w:val="列出段落 Char,Bullet List Char,numbered Char,FooterText Char,List Paragraph1 Char,Paragraphe de liste1 Char"/>
    <w:next w:val="941"/>
    <w:link w:val="942"/>
    <w:rPr>
      <w:rFonts w:ascii="Calibri" w:hAnsi="Calibri"/>
      <w:sz w:val="24"/>
      <w:szCs w:val="24"/>
      <w:lang w:eastAsia="en-US" w:bidi="en-US"/>
    </w:rPr>
  </w:style>
  <w:style w:type="paragraph" w:styleId="942">
    <w:name w:val="列出段落1"/>
    <w:basedOn w:val="861"/>
    <w:next w:val="942"/>
    <w:link w:val="941"/>
    <w:qFormat/>
    <w:pPr>
      <w:contextualSpacing/>
      <w:ind w:left="720"/>
      <w:jc w:val="left"/>
      <w:widowControl/>
    </w:pPr>
    <w:rPr>
      <w:rFonts w:ascii="Calibri" w:hAnsi="Calibri"/>
      <w:sz w:val="24"/>
      <w:szCs w:val="24"/>
      <w:lang w:eastAsia="en-US" w:bidi="en-US"/>
    </w:rPr>
  </w:style>
  <w:style w:type="paragraph" w:styleId="943">
    <w:name w:val="Body Text(ch)"/>
    <w:basedOn w:val="861"/>
    <w:next w:val="892"/>
    <w:link w:val="861"/>
    <w:pPr>
      <w:spacing w:after="120"/>
    </w:pPr>
    <w:rPr>
      <w:rFonts w:ascii="宋体" w:hAnsi="Arial"/>
      <w:bCs/>
      <w:iCs/>
      <w:szCs w:val="24"/>
    </w:rPr>
  </w:style>
  <w:style w:type="paragraph" w:styleId="944">
    <w:name w:val="xl27"/>
    <w:basedOn w:val="861"/>
    <w:next w:val="944"/>
    <w:link w:val="8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name w:val="xl26"/>
    <w:basedOn w:val="861"/>
    <w:next w:val="945"/>
    <w:link w:val="8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6">
    <w:name w:val="Char"/>
    <w:basedOn w:val="861"/>
    <w:next w:val="946"/>
    <w:link w:val="861"/>
    <w:pPr>
      <w:ind w:firstLine="200"/>
      <w:tabs>
        <w:tab w:val="left" w:pos="360" w:leader="none"/>
      </w:tabs>
    </w:pPr>
    <w:rPr>
      <w:sz w:val="28"/>
      <w:szCs w:val="30"/>
    </w:rPr>
  </w:style>
  <w:style w:type="paragraph" w:styleId="947">
    <w:name w:val=" Char"/>
    <w:basedOn w:val="886"/>
    <w:next w:val="947"/>
    <w:link w:val="861"/>
    <w:rPr>
      <w:rFonts w:ascii="Tahoma" w:hAnsi="Tahoma"/>
      <w:sz w:val="24"/>
      <w:szCs w:val="24"/>
    </w:rPr>
  </w:style>
  <w:style w:type="paragraph" w:styleId="948">
    <w:name w:val="普通正文"/>
    <w:basedOn w:val="861"/>
    <w:next w:val="948"/>
    <w:link w:val="861"/>
    <w:pPr>
      <w:ind w:firstLine="480"/>
      <w:jc w:val="left"/>
      <w:spacing w:before="120" w:after="120" w:line="360" w:lineRule="auto"/>
    </w:pPr>
    <w:rPr>
      <w:rFonts w:ascii="Arial" w:hAnsi="Arial"/>
      <w:sz w:val="24"/>
      <w:szCs w:val="24"/>
    </w:rPr>
  </w:style>
  <w:style w:type="paragraph" w:styleId="949">
    <w:name w:val="table_lines"/>
    <w:basedOn w:val="861"/>
    <w:next w:val="949"/>
    <w:link w:val="861"/>
    <w:pPr>
      <w:jc w:val="left"/>
      <w:widowControl/>
    </w:pPr>
    <w:rPr>
      <w:sz w:val="20"/>
      <w:szCs w:val="20"/>
      <w:lang w:val="de-DE" w:eastAsia="de-DE"/>
    </w:rPr>
  </w:style>
  <w:style w:type="paragraph" w:styleId="950">
    <w:name w:val="附录1"/>
    <w:next w:val="950"/>
    <w:link w:val="861"/>
    <w:pPr>
      <w:numPr>
        <w:ilvl w:val="0"/>
        <w:numId w:val="0"/>
      </w:numPr>
      <w:spacing w:before="240" w:line="600" w:lineRule="atLeast"/>
      <w:tabs>
        <w:tab w:val="left" w:pos="907" w:leader="none"/>
      </w:tabs>
    </w:pPr>
    <w:rPr>
      <w:b/>
      <w:i/>
      <w:sz w:val="28"/>
      <w:lang w:val="en-US" w:eastAsia="zh-CN" w:bidi="ar-SA"/>
    </w:rPr>
  </w:style>
  <w:style w:type="paragraph" w:styleId="951">
    <w:name w:val="font7"/>
    <w:basedOn w:val="861"/>
    <w:next w:val="951"/>
    <w:link w:val="861"/>
    <w:pPr>
      <w:jc w:val="left"/>
      <w:spacing w:before="100" w:beforeAutospacing="1" w:after="100" w:afterAutospacing="1"/>
      <w:widowControl/>
    </w:pPr>
    <w:rPr>
      <w:rFonts w:hint="eastAsia" w:ascii="宋体" w:hAnsi="宋体"/>
      <w:sz w:val="18"/>
      <w:szCs w:val="18"/>
    </w:rPr>
  </w:style>
  <w:style w:type="paragraph" w:styleId="952">
    <w:name w:val=" Char Char Char Char"/>
    <w:basedOn w:val="886"/>
    <w:next w:val="952"/>
    <w:link w:val="861"/>
    <w:pPr>
      <w:spacing w:line="360" w:lineRule="auto"/>
    </w:pPr>
    <w:rPr>
      <w:rFonts w:ascii="Tahoma" w:hAnsi="Tahoma"/>
      <w:sz w:val="24"/>
      <w:szCs w:val="24"/>
    </w:rPr>
  </w:style>
  <w:style w:type="paragraph" w:styleId="953">
    <w:name w:val="列出段落"/>
    <w:basedOn w:val="861"/>
    <w:next w:val="953"/>
    <w:link w:val="861"/>
    <w:uiPriority w:val="99"/>
    <w:qFormat/>
    <w:pPr>
      <w:contextualSpacing/>
      <w:ind w:left="720"/>
      <w:jc w:val="left"/>
      <w:widowControl/>
    </w:pPr>
    <w:rPr>
      <w:rFonts w:ascii="Calibri" w:hAnsi="Calibri"/>
      <w:sz w:val="24"/>
      <w:szCs w:val="24"/>
      <w:lang w:eastAsia="en-US" w:bidi="en-US"/>
    </w:rPr>
  </w:style>
  <w:style w:type="paragraph" w:styleId="954">
    <w:name w:val="4"/>
    <w:basedOn w:val="861"/>
    <w:next w:val="916"/>
    <w:link w:val="861"/>
    <w:pPr>
      <w:ind w:firstLine="420"/>
      <w:spacing w:line="360" w:lineRule="auto"/>
    </w:pPr>
    <w:rPr>
      <w:color w:val="ff0000"/>
      <w:sz w:val="24"/>
      <w:szCs w:val="24"/>
    </w:rPr>
  </w:style>
  <w:style w:type="paragraph" w:styleId="955">
    <w:name w:val="普通 (Web)"/>
    <w:basedOn w:val="861"/>
    <w:next w:val="955"/>
    <w:link w:val="861"/>
    <w:pPr>
      <w:jc w:val="left"/>
      <w:spacing w:before="100" w:beforeAutospacing="1" w:after="100" w:afterAutospacing="1"/>
      <w:widowControl/>
    </w:pPr>
    <w:rPr>
      <w:rFonts w:ascii="宋体" w:hAnsi="宋体"/>
      <w:sz w:val="24"/>
      <w:szCs w:val="24"/>
    </w:rPr>
  </w:style>
  <w:style w:type="paragraph" w:styleId="956">
    <w:name w:val=" Char Char Char Char Char Char Char Char Char Char"/>
    <w:basedOn w:val="861"/>
    <w:next w:val="956"/>
    <w:link w:val="861"/>
    <w:pPr>
      <w:spacing w:line="360" w:lineRule="auto"/>
    </w:pPr>
    <w:rPr>
      <w:sz w:val="24"/>
      <w:szCs w:val="20"/>
    </w:rPr>
  </w:style>
  <w:style w:type="paragraph" w:styleId="957">
    <w:name w:val="样式1"/>
    <w:basedOn w:val="861"/>
    <w:next w:val="957"/>
    <w:link w:val="861"/>
    <w:pPr>
      <w:numPr>
        <w:ilvl w:val="0"/>
        <w:numId w:val="0"/>
      </w:numPr>
      <w:tabs>
        <w:tab w:val="left" w:pos="709" w:leader="none"/>
      </w:tabs>
    </w:pPr>
    <w:rPr>
      <w:rFonts w:ascii="宋体" w:hAnsi="宋体"/>
    </w:rPr>
  </w:style>
  <w:style w:type="paragraph" w:styleId="958">
    <w:name w:val="font6"/>
    <w:basedOn w:val="861"/>
    <w:next w:val="958"/>
    <w:link w:val="861"/>
    <w:pPr>
      <w:jc w:val="left"/>
      <w:spacing w:before="100" w:beforeAutospacing="1" w:after="100" w:afterAutospacing="1"/>
      <w:widowControl/>
    </w:pPr>
    <w:rPr>
      <w:rFonts w:hint="eastAsia" w:ascii="宋体" w:hAnsi="宋体"/>
      <w:sz w:val="28"/>
      <w:szCs w:val="28"/>
      <w:u w:val="single"/>
    </w:rPr>
  </w:style>
  <w:style w:type="paragraph" w:styleId="959">
    <w:name w:val="xl25"/>
    <w:basedOn w:val="861"/>
    <w:next w:val="959"/>
    <w:link w:val="8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name w:val="图标"/>
    <w:basedOn w:val="861"/>
    <w:next w:val="861"/>
    <w:link w:val="8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1">
    <w:name w:val="标题3"/>
    <w:basedOn w:val="861"/>
    <w:next w:val="861"/>
    <w:link w:val="861"/>
    <w:pPr>
      <w:ind w:firstLine="624"/>
      <w:spacing w:line="590" w:lineRule="atLeast"/>
    </w:pPr>
    <w:rPr>
      <w:rFonts w:ascii="方正黑体_GBK" w:eastAsia="方正黑体_GBK"/>
      <w:sz w:val="32"/>
      <w:szCs w:val="32"/>
    </w:rPr>
  </w:style>
  <w:style w:type="paragraph" w:styleId="962">
    <w:name w:val="xl24"/>
    <w:basedOn w:val="861"/>
    <w:next w:val="962"/>
    <w:link w:val="8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9"/>
    <w:basedOn w:val="861"/>
    <w:next w:val="963"/>
    <w:link w:val="8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4">
    <w:name w:val="Char Char Char Char Char Char Char Char"/>
    <w:basedOn w:val="861"/>
    <w:next w:val="964"/>
    <w:link w:val="861"/>
    <w:pPr>
      <w:jc w:val="left"/>
      <w:spacing w:after="160" w:line="240" w:lineRule="exact"/>
      <w:widowControl/>
    </w:pPr>
    <w:rPr>
      <w:rFonts w:ascii="Verdana" w:hAnsi="Verdana"/>
      <w:sz w:val="20"/>
      <w:szCs w:val="20"/>
      <w:lang w:eastAsia="en-US"/>
    </w:rPr>
  </w:style>
  <w:style w:type="paragraph" w:styleId="965">
    <w:name w:val="xl28"/>
    <w:basedOn w:val="861"/>
    <w:next w:val="965"/>
    <w:link w:val="8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6">
    <w:name w:val=" Char Char Char Char Char Char Char Char"/>
    <w:basedOn w:val="861"/>
    <w:next w:val="966"/>
    <w:link w:val="861"/>
    <w:pPr>
      <w:jc w:val="left"/>
      <w:spacing w:after="160" w:line="240" w:lineRule="exact"/>
      <w:widowControl/>
    </w:pPr>
    <w:rPr>
      <w:rFonts w:ascii="Verdana" w:hAnsi="Verdana"/>
      <w:sz w:val="20"/>
      <w:szCs w:val="20"/>
      <w:lang w:eastAsia="en-US"/>
    </w:rPr>
  </w:style>
  <w:style w:type="paragraph" w:styleId="967">
    <w:name w:val="xl30"/>
    <w:basedOn w:val="861"/>
    <w:next w:val="967"/>
    <w:link w:val="861"/>
    <w:pPr>
      <w:jc w:val="center"/>
      <w:spacing w:before="100" w:beforeAutospacing="1" w:after="100" w:afterAutospacing="1"/>
      <w:widowControl/>
    </w:pPr>
    <w:rPr>
      <w:rFonts w:ascii="宋体" w:hAnsi="宋体"/>
      <w:b/>
      <w:bCs/>
      <w:sz w:val="36"/>
      <w:szCs w:val="36"/>
    </w:rPr>
  </w:style>
  <w:style w:type="paragraph" w:styleId="968">
    <w:name w:val="Char Char Char Char"/>
    <w:basedOn w:val="886"/>
    <w:next w:val="968"/>
    <w:link w:val="861"/>
    <w:pPr>
      <w:spacing w:line="360" w:lineRule="auto"/>
    </w:pPr>
    <w:rPr>
      <w:rFonts w:ascii="Tahoma" w:hAnsi="Tahoma"/>
      <w:sz w:val="24"/>
      <w:szCs w:val="24"/>
    </w:rPr>
  </w:style>
  <w:style w:type="paragraph" w:styleId="969">
    <w:name w:val="table_1stline"/>
    <w:basedOn w:val="861"/>
    <w:next w:val="969"/>
    <w:link w:val="861"/>
    <w:pPr>
      <w:jc w:val="left"/>
      <w:spacing w:before="120"/>
      <w:widowControl/>
    </w:pPr>
    <w:rPr>
      <w:bCs/>
      <w:sz w:val="20"/>
      <w:szCs w:val="20"/>
      <w:lang w:val="de-DE" w:eastAsia="de-DE"/>
    </w:rPr>
  </w:style>
  <w:style w:type="paragraph" w:styleId="970">
    <w:name w:val="font5"/>
    <w:basedOn w:val="861"/>
    <w:next w:val="970"/>
    <w:link w:val="861"/>
    <w:pPr>
      <w:jc w:val="left"/>
      <w:spacing w:before="100" w:beforeAutospacing="1" w:after="100" w:afterAutospacing="1"/>
      <w:widowControl/>
    </w:pPr>
    <w:rPr>
      <w:rFonts w:hint="eastAsia" w:ascii="宋体" w:hAnsi="宋体"/>
      <w:sz w:val="28"/>
      <w:szCs w:val="28"/>
    </w:rPr>
  </w:style>
  <w:style w:type="paragraph" w:styleId="971">
    <w:name w:val="标题1"/>
    <w:basedOn w:val="861"/>
    <w:next w:val="861"/>
    <w:link w:val="861"/>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name w:val="修订"/>
    <w:next w:val="972"/>
    <w:link w:val="861"/>
    <w:uiPriority w:val="99"/>
    <w:semiHidden/>
    <w:rPr>
      <w:sz w:val="21"/>
      <w:szCs w:val="21"/>
      <w:lang w:val="en-US" w:eastAsia="zh-CN" w:bidi="ar-SA"/>
    </w:rPr>
  </w:style>
  <w:style w:type="paragraph" w:styleId="973">
    <w:name w:val="无间隔"/>
    <w:next w:val="973"/>
    <w:link w:val="861"/>
    <w:uiPriority w:val="99"/>
    <w:qFormat/>
    <w:pPr>
      <w:jc w:val="both"/>
      <w:widowControl w:val="off"/>
    </w:pPr>
    <w:rPr>
      <w:sz w:val="21"/>
      <w:szCs w:val="21"/>
      <w:lang w:val="en-US" w:eastAsia="zh-CN" w:bidi="ar-SA"/>
    </w:rPr>
  </w:style>
  <w:style w:type="paragraph" w:styleId="974">
    <w:name w:val="普通文字"/>
    <w:basedOn w:val="861"/>
    <w:next w:val="861"/>
    <w:link w:val="861"/>
    <w:uiPriority w:val="99"/>
    <w:rPr>
      <w:rFonts w:ascii="宋体" w:hAnsi="Times New Roman" w:eastAsia="宋体" w:cs="Times New Roman"/>
      <w:sz w:val="24"/>
      <w:szCs w:val="20"/>
      <w:u w:val="none"/>
    </w:rPr>
  </w:style>
  <w:style w:type="paragraph" w:styleId="975">
    <w:name w:val="目录 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76">
    <w:name w:val="正文文本11"/>
    <w:basedOn w:val="861"/>
    <w:next w:val="976"/>
    <w:link w:val="861"/>
    <w:qFormat/>
    <w:rPr>
      <w:sz w:val="18"/>
      <w:szCs w:val="20"/>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cp:revision>
  <dcterms:created xsi:type="dcterms:W3CDTF">2026-02-09T03:08:00Z</dcterms:created>
  <dcterms:modified xsi:type="dcterms:W3CDTF">2026-02-24T05:37:55Z</dcterms:modified>
</cp:coreProperties>
</file>